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DE" w:rsidRPr="005F622B" w:rsidRDefault="00F826A8" w:rsidP="00F826A8">
      <w:pPr>
        <w:spacing w:before="100" w:beforeAutospacing="1" w:line="240" w:lineRule="auto"/>
        <w:jc w:val="center"/>
        <w:rPr>
          <w:rFonts w:ascii="Times New Roman" w:eastAsia="Times New Roman" w:hAnsi="Times New Roman" w:cs="Times New Roman"/>
          <w:b/>
          <w:sz w:val="32"/>
          <w:szCs w:val="32"/>
          <w:lang w:eastAsia="el-GR"/>
        </w:rPr>
      </w:pPr>
      <w:r w:rsidRPr="005F622B">
        <w:rPr>
          <w:rFonts w:ascii="Times New Roman" w:eastAsia="Times New Roman" w:hAnsi="Times New Roman" w:cs="Times New Roman"/>
          <w:b/>
          <w:bCs/>
          <w:iCs/>
          <w:sz w:val="32"/>
          <w:szCs w:val="32"/>
          <w:lang w:eastAsia="el-GR"/>
        </w:rPr>
        <w:t>ΟΜΙΛΙΑ ΣΤΟ 1</w:t>
      </w:r>
      <w:r w:rsidRPr="005F622B">
        <w:rPr>
          <w:rFonts w:ascii="Times New Roman" w:eastAsia="Times New Roman" w:hAnsi="Times New Roman" w:cs="Times New Roman"/>
          <w:b/>
          <w:bCs/>
          <w:iCs/>
          <w:sz w:val="32"/>
          <w:szCs w:val="32"/>
          <w:vertAlign w:val="superscript"/>
          <w:lang w:eastAsia="el-GR"/>
        </w:rPr>
        <w:t>ο</w:t>
      </w:r>
      <w:r w:rsidRPr="005F622B">
        <w:rPr>
          <w:rFonts w:ascii="Times New Roman" w:eastAsia="Times New Roman" w:hAnsi="Times New Roman" w:cs="Times New Roman"/>
          <w:b/>
          <w:bCs/>
          <w:iCs/>
          <w:sz w:val="32"/>
          <w:szCs w:val="32"/>
          <w:lang w:eastAsia="el-GR"/>
        </w:rPr>
        <w:t xml:space="preserve"> ΤΑΚΤΙΚΟ ΣΥΝΕΔΡΙΟ ΤΗΣ  ΕΝ.ΠΕ.</w:t>
      </w:r>
    </w:p>
    <w:p w:rsidR="003409DE" w:rsidRPr="005F622B" w:rsidRDefault="003409DE" w:rsidP="00D71016">
      <w:pPr>
        <w:spacing w:before="100" w:beforeAutospacing="1" w:line="240" w:lineRule="auto"/>
        <w:rPr>
          <w:rFonts w:ascii="Times New Roman" w:eastAsia="Times New Roman" w:hAnsi="Times New Roman" w:cs="Times New Roman"/>
          <w:sz w:val="32"/>
          <w:szCs w:val="32"/>
          <w:lang w:eastAsia="el-GR"/>
        </w:rPr>
      </w:pPr>
    </w:p>
    <w:p w:rsidR="003409DE" w:rsidRPr="005F622B" w:rsidRDefault="003409DE" w:rsidP="00D71016">
      <w:pPr>
        <w:spacing w:line="240" w:lineRule="auto"/>
        <w:rPr>
          <w:rFonts w:ascii="Times New Roman" w:eastAsia="Times New Roman" w:hAnsi="Times New Roman" w:cs="Times New Roman"/>
          <w:vanish/>
          <w:sz w:val="32"/>
          <w:szCs w:val="32"/>
          <w:lang w:eastAsia="el-GR"/>
        </w:rPr>
      </w:pPr>
    </w:p>
    <w:tbl>
      <w:tblPr>
        <w:tblW w:w="0" w:type="auto"/>
        <w:tblCellSpacing w:w="15" w:type="dxa"/>
        <w:tblCellMar>
          <w:top w:w="15" w:type="dxa"/>
          <w:left w:w="15" w:type="dxa"/>
          <w:bottom w:w="15" w:type="dxa"/>
          <w:right w:w="15" w:type="dxa"/>
        </w:tblCellMar>
        <w:tblLook w:val="04A0"/>
      </w:tblPr>
      <w:tblGrid>
        <w:gridCol w:w="10556"/>
      </w:tblGrid>
      <w:tr w:rsidR="003409DE" w:rsidRPr="005F622B" w:rsidTr="00546E82">
        <w:trPr>
          <w:tblCellSpacing w:w="15" w:type="dxa"/>
        </w:trPr>
        <w:tc>
          <w:tcPr>
            <w:tcW w:w="0" w:type="auto"/>
            <w:hideMark/>
          </w:tcPr>
          <w:p w:rsidR="003409DE" w:rsidRPr="005F622B" w:rsidRDefault="003409DE" w:rsidP="00F826A8">
            <w:pPr>
              <w:spacing w:before="100" w:beforeAutospacing="1" w:line="240" w:lineRule="auto"/>
              <w:rPr>
                <w:rFonts w:ascii="Times New Roman" w:eastAsia="Times New Roman" w:hAnsi="Times New Roman" w:cs="Times New Roman"/>
                <w:sz w:val="32"/>
                <w:szCs w:val="32"/>
                <w:u w:val="single"/>
                <w:lang w:eastAsia="el-GR"/>
              </w:rPr>
            </w:pPr>
            <w:r w:rsidRPr="005F622B">
              <w:rPr>
                <w:rFonts w:ascii="Times New Roman" w:eastAsia="Times New Roman" w:hAnsi="Times New Roman" w:cs="Times New Roman"/>
                <w:bCs/>
                <w:sz w:val="32"/>
                <w:szCs w:val="32"/>
                <w:u w:val="single"/>
                <w:lang w:eastAsia="el-GR"/>
              </w:rPr>
              <w:t>ΒΑΣΙΚΕΣ ΚΑΙΝΟΤΟΜΙΕΣ ΤΗΣ ΔΙΟΙΚΗΤΙΚΗΣ ΜΕΤΑΡΡΥΘΜΙΣΗΣ</w:t>
            </w:r>
          </w:p>
          <w:p w:rsidR="00C53A7E" w:rsidRPr="005F622B" w:rsidRDefault="003409DE" w:rsidP="00D71016">
            <w:pPr>
              <w:spacing w:before="100" w:beforeAutospacing="1" w:line="240" w:lineRule="auto"/>
              <w:rPr>
                <w:rFonts w:ascii="Times New Roman" w:eastAsia="Times New Roman" w:hAnsi="Times New Roman" w:cs="Times New Roman"/>
                <w:sz w:val="32"/>
                <w:szCs w:val="32"/>
                <w:lang w:eastAsia="el-GR"/>
              </w:rPr>
            </w:pPr>
            <w:r w:rsidRPr="005F622B">
              <w:rPr>
                <w:rFonts w:ascii="Times New Roman" w:eastAsia="Times New Roman" w:hAnsi="Times New Roman" w:cs="Times New Roman"/>
                <w:sz w:val="32"/>
                <w:szCs w:val="32"/>
                <w:lang w:eastAsia="el-GR"/>
              </w:rPr>
              <w:t xml:space="preserve">Όπως γνωρίζουμε, η τομή που έγινε, με το Πρόγραμμα “Καλλικράτης”, είναι τριπλή: </w:t>
            </w:r>
          </w:p>
          <w:p w:rsidR="00C53A7E" w:rsidRPr="005F622B" w:rsidRDefault="003409DE" w:rsidP="00D71016">
            <w:pPr>
              <w:spacing w:before="100" w:beforeAutospacing="1" w:line="240" w:lineRule="auto"/>
              <w:rPr>
                <w:rFonts w:ascii="Times New Roman" w:eastAsia="Times New Roman" w:hAnsi="Times New Roman" w:cs="Times New Roman"/>
                <w:sz w:val="32"/>
                <w:szCs w:val="32"/>
                <w:lang w:eastAsia="el-GR"/>
              </w:rPr>
            </w:pPr>
            <w:r w:rsidRPr="005F622B">
              <w:rPr>
                <w:rFonts w:ascii="Times New Roman" w:eastAsia="Times New Roman" w:hAnsi="Times New Roman" w:cs="Times New Roman"/>
                <w:sz w:val="32"/>
                <w:szCs w:val="32"/>
                <w:lang w:eastAsia="el-GR"/>
              </w:rPr>
              <w:t xml:space="preserve">1) η </w:t>
            </w:r>
            <w:r w:rsidRPr="005F622B">
              <w:rPr>
                <w:rFonts w:ascii="Times New Roman" w:eastAsia="Times New Roman" w:hAnsi="Times New Roman" w:cs="Times New Roman"/>
                <w:b/>
                <w:bCs/>
                <w:sz w:val="32"/>
                <w:szCs w:val="32"/>
                <w:lang w:eastAsia="el-GR"/>
              </w:rPr>
              <w:t>κατάργηση των 57 Νομαρχιακών Αυτοδιοικήσεων</w:t>
            </w:r>
            <w:r w:rsidRPr="005F622B">
              <w:rPr>
                <w:rFonts w:ascii="Times New Roman" w:eastAsia="Times New Roman" w:hAnsi="Times New Roman" w:cs="Times New Roman"/>
                <w:sz w:val="32"/>
                <w:szCs w:val="32"/>
                <w:lang w:eastAsia="el-GR"/>
              </w:rPr>
              <w:t xml:space="preserve"> και η ταυτόχρονη δημιουργία 13 αιρετών Περιφερειών </w:t>
            </w:r>
            <w:r w:rsidRPr="005F622B">
              <w:rPr>
                <w:rFonts w:ascii="Times New Roman" w:eastAsia="Times New Roman" w:hAnsi="Times New Roman" w:cs="Times New Roman"/>
                <w:b/>
                <w:bCs/>
                <w:sz w:val="32"/>
                <w:szCs w:val="32"/>
                <w:lang w:eastAsia="el-GR"/>
              </w:rPr>
              <w:t>ως νέο δεύτερο βαθμό τοπικής αυτοδιοίκησης</w:t>
            </w:r>
            <w:r w:rsidRPr="005F622B">
              <w:rPr>
                <w:rFonts w:ascii="Times New Roman" w:eastAsia="Times New Roman" w:hAnsi="Times New Roman" w:cs="Times New Roman"/>
                <w:sz w:val="32"/>
                <w:szCs w:val="32"/>
                <w:lang w:eastAsia="el-GR"/>
              </w:rPr>
              <w:t xml:space="preserve"> </w:t>
            </w:r>
          </w:p>
          <w:p w:rsidR="00C53A7E" w:rsidRPr="005F622B" w:rsidRDefault="003409DE" w:rsidP="00D71016">
            <w:pPr>
              <w:spacing w:before="100" w:beforeAutospacing="1" w:line="240" w:lineRule="auto"/>
              <w:rPr>
                <w:rFonts w:ascii="Times New Roman" w:eastAsia="Times New Roman" w:hAnsi="Times New Roman" w:cs="Times New Roman"/>
                <w:sz w:val="32"/>
                <w:szCs w:val="32"/>
                <w:lang w:eastAsia="el-GR"/>
              </w:rPr>
            </w:pPr>
            <w:r w:rsidRPr="005F622B">
              <w:rPr>
                <w:rFonts w:ascii="Times New Roman" w:eastAsia="Times New Roman" w:hAnsi="Times New Roman" w:cs="Times New Roman"/>
                <w:sz w:val="32"/>
                <w:szCs w:val="32"/>
                <w:lang w:eastAsia="el-GR"/>
              </w:rPr>
              <w:t xml:space="preserve">2) η </w:t>
            </w:r>
            <w:r w:rsidRPr="005F622B">
              <w:rPr>
                <w:rFonts w:ascii="Times New Roman" w:eastAsia="Times New Roman" w:hAnsi="Times New Roman" w:cs="Times New Roman"/>
                <w:b/>
                <w:bCs/>
                <w:sz w:val="32"/>
                <w:szCs w:val="32"/>
                <w:lang w:eastAsia="el-GR"/>
              </w:rPr>
              <w:t>συγχώνευση των ΟΤΑ πρώτου βαθμού σε 325 Δήμους</w:t>
            </w:r>
            <w:r w:rsidRPr="005F622B">
              <w:rPr>
                <w:rFonts w:ascii="Times New Roman" w:eastAsia="Times New Roman" w:hAnsi="Times New Roman" w:cs="Times New Roman"/>
                <w:sz w:val="32"/>
                <w:szCs w:val="32"/>
                <w:lang w:eastAsia="el-GR"/>
              </w:rPr>
              <w:t xml:space="preserve">, και </w:t>
            </w:r>
          </w:p>
          <w:p w:rsidR="003409DE" w:rsidRPr="005F622B" w:rsidRDefault="003409DE" w:rsidP="00D71016">
            <w:pPr>
              <w:spacing w:before="100" w:beforeAutospacing="1" w:line="240" w:lineRule="auto"/>
              <w:rPr>
                <w:rFonts w:ascii="Times New Roman" w:eastAsia="Times New Roman" w:hAnsi="Times New Roman" w:cs="Times New Roman"/>
                <w:sz w:val="32"/>
                <w:szCs w:val="32"/>
                <w:lang w:eastAsia="el-GR"/>
              </w:rPr>
            </w:pPr>
            <w:r w:rsidRPr="005F622B">
              <w:rPr>
                <w:rFonts w:ascii="Times New Roman" w:eastAsia="Times New Roman" w:hAnsi="Times New Roman" w:cs="Times New Roman"/>
                <w:sz w:val="32"/>
                <w:szCs w:val="32"/>
                <w:lang w:eastAsia="el-GR"/>
              </w:rPr>
              <w:t xml:space="preserve">3) η ανασυγκρότηση της αποκεντρωμένης δομής του κράτους σε </w:t>
            </w:r>
            <w:r w:rsidRPr="005F622B">
              <w:rPr>
                <w:rFonts w:ascii="Times New Roman" w:eastAsia="Times New Roman" w:hAnsi="Times New Roman" w:cs="Times New Roman"/>
                <w:b/>
                <w:bCs/>
                <w:sz w:val="32"/>
                <w:szCs w:val="32"/>
                <w:lang w:eastAsia="el-GR"/>
              </w:rPr>
              <w:t>7 Αποκεντρωμένες Διοικήσεις</w:t>
            </w:r>
            <w:r w:rsidRPr="005F622B">
              <w:rPr>
                <w:rFonts w:ascii="Times New Roman" w:eastAsia="Times New Roman" w:hAnsi="Times New Roman" w:cs="Times New Roman"/>
                <w:sz w:val="32"/>
                <w:szCs w:val="32"/>
                <w:lang w:eastAsia="el-GR"/>
              </w:rPr>
              <w:t>.</w:t>
            </w:r>
          </w:p>
          <w:p w:rsidR="003409DE" w:rsidRPr="005F622B" w:rsidRDefault="003409DE" w:rsidP="00D71016">
            <w:pPr>
              <w:spacing w:before="100" w:beforeAutospacing="1" w:line="240" w:lineRule="auto"/>
              <w:rPr>
                <w:rFonts w:ascii="Times New Roman" w:eastAsia="Times New Roman" w:hAnsi="Times New Roman" w:cs="Times New Roman"/>
                <w:sz w:val="32"/>
                <w:szCs w:val="32"/>
                <w:lang w:eastAsia="el-GR"/>
              </w:rPr>
            </w:pPr>
            <w:r w:rsidRPr="005F622B">
              <w:rPr>
                <w:rFonts w:ascii="Times New Roman" w:eastAsia="Times New Roman" w:hAnsi="Times New Roman" w:cs="Times New Roman"/>
                <w:sz w:val="32"/>
                <w:szCs w:val="32"/>
                <w:lang w:eastAsia="el-GR"/>
              </w:rPr>
              <w:t>Ας δούμε λοιπόν μερικές από τις σημαντικότερες, κατά τη γνώμη μου, αδυναμίες και κενά του νόμου.</w:t>
            </w:r>
          </w:p>
          <w:p w:rsidR="00E167C3" w:rsidRPr="005F622B" w:rsidRDefault="003409DE" w:rsidP="00D71016">
            <w:pPr>
              <w:spacing w:before="100" w:beforeAutospacing="1" w:line="240" w:lineRule="auto"/>
              <w:rPr>
                <w:rFonts w:ascii="Times New Roman" w:eastAsia="Times New Roman" w:hAnsi="Times New Roman" w:cs="Times New Roman"/>
                <w:sz w:val="32"/>
                <w:szCs w:val="32"/>
                <w:lang w:eastAsia="el-GR"/>
              </w:rPr>
            </w:pPr>
            <w:r w:rsidRPr="005F622B">
              <w:rPr>
                <w:rFonts w:ascii="Times New Roman" w:eastAsia="Times New Roman" w:hAnsi="Times New Roman" w:cs="Times New Roman"/>
                <w:b/>
                <w:bCs/>
                <w:sz w:val="32"/>
                <w:szCs w:val="32"/>
                <w:lang w:eastAsia="el-GR"/>
              </w:rPr>
              <w:t>H αποκέντρωση αρμοδιοτήτων</w:t>
            </w:r>
            <w:r w:rsidR="00C53A7E" w:rsidRPr="005F622B">
              <w:rPr>
                <w:rFonts w:ascii="Times New Roman" w:eastAsia="Times New Roman" w:hAnsi="Times New Roman" w:cs="Times New Roman"/>
                <w:b/>
                <w:bCs/>
                <w:sz w:val="32"/>
                <w:szCs w:val="32"/>
                <w:lang w:eastAsia="el-GR"/>
              </w:rPr>
              <w:t xml:space="preserve"> </w:t>
            </w:r>
            <w:r w:rsidRPr="005F622B">
              <w:rPr>
                <w:rFonts w:ascii="Times New Roman" w:eastAsia="Times New Roman" w:hAnsi="Times New Roman" w:cs="Times New Roman"/>
                <w:b/>
                <w:bCs/>
                <w:sz w:val="32"/>
                <w:szCs w:val="32"/>
                <w:lang w:eastAsia="el-GR"/>
              </w:rPr>
              <w:t>δεν συνοδεύεται από ανάλογη αποκέντρωση πόρων και προσωπικού</w:t>
            </w:r>
            <w:r w:rsidRPr="005F622B">
              <w:rPr>
                <w:rFonts w:ascii="Times New Roman" w:eastAsia="Times New Roman" w:hAnsi="Times New Roman" w:cs="Times New Roman"/>
                <w:sz w:val="32"/>
                <w:szCs w:val="32"/>
                <w:lang w:eastAsia="el-GR"/>
              </w:rPr>
              <w:t xml:space="preserve">. </w:t>
            </w:r>
            <w:r w:rsidR="00E167C3" w:rsidRPr="005F622B">
              <w:rPr>
                <w:rFonts w:ascii="Times New Roman" w:eastAsia="Times New Roman" w:hAnsi="Times New Roman" w:cs="Times New Roman"/>
                <w:sz w:val="32"/>
                <w:szCs w:val="32"/>
                <w:lang w:eastAsia="el-GR"/>
              </w:rPr>
              <w:t xml:space="preserve">Το νομοσχέδιο για τον Καλλικράτη αναφέρεται στις πηγές των ΚΑΠ (Κεντρικοί Αυτοτελείς Πόροι), που προέρχονται από τον Φόρο Εισοδήματος Φυσικών και Νομικών Προσώπων (ΦΕΦΝΠ), τον Φόρο Προστιθέμενης Αξίας (ΦΠΑ) και τον Φόρο Ακίνητης Περιουσίας (ΦΑΠ), πλην όμως αυτό δεν αποτελεί καμία εγγύηση </w:t>
            </w:r>
            <w:r w:rsidR="00C53A7E" w:rsidRPr="005F622B">
              <w:rPr>
                <w:rFonts w:ascii="Times New Roman" w:eastAsia="Times New Roman" w:hAnsi="Times New Roman" w:cs="Times New Roman"/>
                <w:sz w:val="32"/>
                <w:szCs w:val="32"/>
                <w:lang w:eastAsia="el-GR"/>
              </w:rPr>
              <w:t xml:space="preserve">σταθερής </w:t>
            </w:r>
            <w:r w:rsidR="00E167C3" w:rsidRPr="005F622B">
              <w:rPr>
                <w:rFonts w:ascii="Times New Roman" w:eastAsia="Times New Roman" w:hAnsi="Times New Roman" w:cs="Times New Roman"/>
                <w:sz w:val="32"/>
                <w:szCs w:val="32"/>
                <w:lang w:eastAsia="el-GR"/>
              </w:rPr>
              <w:t>χρηματοδότησης.</w:t>
            </w:r>
            <w:r w:rsidR="00C53A7E" w:rsidRPr="005F622B">
              <w:rPr>
                <w:rFonts w:ascii="Times New Roman" w:eastAsia="Times New Roman" w:hAnsi="Times New Roman" w:cs="Times New Roman"/>
                <w:sz w:val="32"/>
                <w:szCs w:val="32"/>
                <w:lang w:eastAsia="el-GR"/>
              </w:rPr>
              <w:t xml:space="preserve"> </w:t>
            </w:r>
            <w:r w:rsidR="00E167C3" w:rsidRPr="005F622B">
              <w:rPr>
                <w:rFonts w:ascii="Times New Roman" w:eastAsia="Times New Roman" w:hAnsi="Times New Roman" w:cs="Times New Roman"/>
                <w:sz w:val="32"/>
                <w:szCs w:val="32"/>
                <w:lang w:eastAsia="el-GR"/>
              </w:rPr>
              <w:t xml:space="preserve">Όταν, λοιπόν, οι πόροι δεν ορίζονται συγκεκριμένα, αυτοί μπορεί να περιορίζονται κατά βούληση της κυβέρνησης, η οποία, στη συγκεκριμένη συγκυρία αλλά και σε βάθος χρόνου τουλάχιστον 10ετίας, είναι δεδηλωμένη και μεταφράζεται στη δραματική μείωση των πόρων που αφορούν σε κοινωνικές δαπάνες. </w:t>
            </w:r>
          </w:p>
          <w:p w:rsidR="003409DE" w:rsidRPr="005F622B" w:rsidRDefault="003409DE" w:rsidP="00D71016">
            <w:pPr>
              <w:spacing w:before="100" w:beforeAutospacing="1" w:line="240" w:lineRule="auto"/>
              <w:rPr>
                <w:rFonts w:ascii="Times New Roman" w:eastAsia="Times New Roman" w:hAnsi="Times New Roman" w:cs="Times New Roman"/>
                <w:sz w:val="32"/>
                <w:szCs w:val="32"/>
                <w:lang w:eastAsia="el-GR"/>
              </w:rPr>
            </w:pPr>
            <w:r w:rsidRPr="005F622B">
              <w:rPr>
                <w:rFonts w:ascii="Times New Roman" w:eastAsia="Times New Roman" w:hAnsi="Times New Roman" w:cs="Times New Roman"/>
                <w:b/>
                <w:sz w:val="32"/>
                <w:szCs w:val="32"/>
                <w:lang w:eastAsia="el-GR"/>
              </w:rPr>
              <w:t>Παραμένουν</w:t>
            </w:r>
            <w:r w:rsidRPr="005F622B">
              <w:rPr>
                <w:rFonts w:ascii="Times New Roman" w:eastAsia="Times New Roman" w:hAnsi="Times New Roman" w:cs="Times New Roman"/>
                <w:sz w:val="32"/>
                <w:szCs w:val="32"/>
                <w:lang w:eastAsia="el-GR"/>
              </w:rPr>
              <w:t xml:space="preserve"> </w:t>
            </w:r>
            <w:r w:rsidRPr="005F622B">
              <w:rPr>
                <w:rFonts w:ascii="Times New Roman" w:eastAsia="Times New Roman" w:hAnsi="Times New Roman" w:cs="Times New Roman"/>
                <w:b/>
                <w:bCs/>
                <w:sz w:val="32"/>
                <w:szCs w:val="32"/>
                <w:lang w:eastAsia="el-GR"/>
              </w:rPr>
              <w:t>προβλήματα επικάλυψης αρμοδιοτήτων, διαιώνισης των συναρμοδιοτήτων με</w:t>
            </w:r>
            <w:r w:rsidR="000417DD" w:rsidRPr="005F622B">
              <w:rPr>
                <w:rFonts w:ascii="Times New Roman" w:eastAsia="Times New Roman" w:hAnsi="Times New Roman" w:cs="Times New Roman"/>
                <w:b/>
                <w:bCs/>
                <w:sz w:val="32"/>
                <w:szCs w:val="32"/>
                <w:lang w:eastAsia="el-GR"/>
              </w:rPr>
              <w:t xml:space="preserve"> αποτέλεσμα</w:t>
            </w:r>
            <w:r w:rsidR="00481F25" w:rsidRPr="005F622B">
              <w:rPr>
                <w:rFonts w:ascii="Times New Roman" w:eastAsia="Times New Roman" w:hAnsi="Times New Roman" w:cs="Times New Roman"/>
                <w:sz w:val="32"/>
                <w:szCs w:val="32"/>
                <w:lang w:eastAsia="el-GR"/>
              </w:rPr>
              <w:t xml:space="preserve"> την αδράνεια και</w:t>
            </w:r>
            <w:r w:rsidRPr="005F622B">
              <w:rPr>
                <w:rFonts w:ascii="Times New Roman" w:eastAsia="Times New Roman" w:hAnsi="Times New Roman" w:cs="Times New Roman"/>
                <w:sz w:val="32"/>
                <w:szCs w:val="32"/>
                <w:lang w:eastAsia="el-GR"/>
              </w:rPr>
              <w:t xml:space="preserve"> τη διάχυση της ευθύνης που φθάνει βεβαίως στην τελική της ακύρωση. Μεγάλο πρόβλημα αποτελούν επίσης, οι ασάφειες και</w:t>
            </w:r>
            <w:r w:rsidR="00C53A7E" w:rsidRPr="005F622B">
              <w:rPr>
                <w:rFonts w:ascii="Times New Roman" w:eastAsia="Times New Roman" w:hAnsi="Times New Roman" w:cs="Times New Roman"/>
                <w:sz w:val="32"/>
                <w:szCs w:val="32"/>
                <w:lang w:eastAsia="el-GR"/>
              </w:rPr>
              <w:t xml:space="preserve"> η κωλυσιεργία όσον αφορά στη με</w:t>
            </w:r>
            <w:r w:rsidRPr="005F622B">
              <w:rPr>
                <w:rFonts w:ascii="Times New Roman" w:eastAsia="Times New Roman" w:hAnsi="Times New Roman" w:cs="Times New Roman"/>
                <w:sz w:val="32"/>
                <w:szCs w:val="32"/>
                <w:lang w:eastAsia="el-GR"/>
              </w:rPr>
              <w:t xml:space="preserve">ταβίβαση αρμοδιοτήτων από τη κεντρική διοίκηση στις νέες αιρετές Περιφέρειες. </w:t>
            </w:r>
          </w:p>
          <w:p w:rsidR="00481F25" w:rsidRPr="005F622B" w:rsidRDefault="00E167C3" w:rsidP="00D71016">
            <w:pPr>
              <w:spacing w:before="100" w:beforeAutospacing="1" w:line="240" w:lineRule="auto"/>
              <w:rPr>
                <w:rFonts w:ascii="Times New Roman" w:eastAsia="Times New Roman" w:hAnsi="Times New Roman" w:cs="Times New Roman"/>
                <w:sz w:val="32"/>
                <w:szCs w:val="32"/>
                <w:lang w:eastAsia="el-GR"/>
              </w:rPr>
            </w:pPr>
            <w:r w:rsidRPr="005F622B">
              <w:rPr>
                <w:rFonts w:ascii="Times New Roman" w:eastAsia="Times New Roman" w:hAnsi="Times New Roman" w:cs="Times New Roman"/>
                <w:sz w:val="32"/>
                <w:szCs w:val="32"/>
                <w:lang w:eastAsia="el-GR"/>
              </w:rPr>
              <w:t xml:space="preserve">Συνολικά οι αιρετές περιφέρειες ασκούν 304 αρμοδιότητες. Τα προβλήματα </w:t>
            </w:r>
            <w:r w:rsidR="00C53A7E" w:rsidRPr="005F622B">
              <w:rPr>
                <w:rFonts w:ascii="Times New Roman" w:eastAsia="Times New Roman" w:hAnsi="Times New Roman" w:cs="Times New Roman"/>
                <w:sz w:val="32"/>
                <w:szCs w:val="32"/>
                <w:lang w:eastAsia="el-GR"/>
              </w:rPr>
              <w:t xml:space="preserve">διαφαίνονται </w:t>
            </w:r>
            <w:r w:rsidRPr="005F622B">
              <w:rPr>
                <w:rFonts w:ascii="Times New Roman" w:eastAsia="Times New Roman" w:hAnsi="Times New Roman" w:cs="Times New Roman"/>
                <w:sz w:val="32"/>
                <w:szCs w:val="32"/>
                <w:lang w:eastAsia="el-GR"/>
              </w:rPr>
              <w:t>αν διαβαστούν εκ</w:t>
            </w:r>
            <w:r w:rsidR="00C53A7E" w:rsidRPr="005F622B">
              <w:rPr>
                <w:rFonts w:ascii="Times New Roman" w:eastAsia="Times New Roman" w:hAnsi="Times New Roman" w:cs="Times New Roman"/>
                <w:sz w:val="32"/>
                <w:szCs w:val="32"/>
                <w:lang w:eastAsia="el-GR"/>
              </w:rPr>
              <w:t xml:space="preserve"> </w:t>
            </w:r>
            <w:r w:rsidRPr="005F622B">
              <w:rPr>
                <w:rFonts w:ascii="Times New Roman" w:eastAsia="Times New Roman" w:hAnsi="Times New Roman" w:cs="Times New Roman"/>
                <w:sz w:val="32"/>
                <w:szCs w:val="32"/>
                <w:lang w:eastAsia="el-GR"/>
              </w:rPr>
              <w:t xml:space="preserve">παραλλήλου οι αρμοδιότητες της αιρετής περιφέρειας με αυτές της αποκεντρωμένης διοίκησης. </w:t>
            </w:r>
          </w:p>
          <w:p w:rsidR="003409DE" w:rsidRPr="005F622B" w:rsidRDefault="00481F25" w:rsidP="00D71016">
            <w:pPr>
              <w:spacing w:before="100" w:beforeAutospacing="1" w:line="240" w:lineRule="auto"/>
              <w:rPr>
                <w:rFonts w:ascii="Times New Roman" w:eastAsia="Times New Roman" w:hAnsi="Times New Roman" w:cs="Times New Roman"/>
                <w:sz w:val="32"/>
                <w:szCs w:val="32"/>
                <w:lang w:eastAsia="el-GR"/>
              </w:rPr>
            </w:pPr>
            <w:r w:rsidRPr="005F622B">
              <w:rPr>
                <w:rFonts w:ascii="Times New Roman" w:eastAsia="Times New Roman" w:hAnsi="Times New Roman" w:cs="Times New Roman"/>
                <w:sz w:val="32"/>
                <w:szCs w:val="32"/>
                <w:lang w:eastAsia="el-GR"/>
              </w:rPr>
              <w:t>Σημειωτέον</w:t>
            </w:r>
            <w:r w:rsidR="003409DE" w:rsidRPr="005F622B">
              <w:rPr>
                <w:rFonts w:ascii="Times New Roman" w:eastAsia="Times New Roman" w:hAnsi="Times New Roman" w:cs="Times New Roman"/>
                <w:sz w:val="32"/>
                <w:szCs w:val="32"/>
                <w:lang w:eastAsia="el-GR"/>
              </w:rPr>
              <w:t xml:space="preserve">, ότι η περιφερειακή κρατική διοίκηση επιβάλλεται από το Σύνταγμα και δεν θα μπορούσε να μην υφίσταται, αλλά ο ρόλος της </w:t>
            </w:r>
            <w:proofErr w:type="spellStart"/>
            <w:r w:rsidR="003409DE" w:rsidRPr="005F622B">
              <w:rPr>
                <w:rFonts w:ascii="Times New Roman" w:eastAsia="Times New Roman" w:hAnsi="Times New Roman" w:cs="Times New Roman"/>
                <w:sz w:val="32"/>
                <w:szCs w:val="32"/>
                <w:lang w:eastAsia="el-GR"/>
              </w:rPr>
              <w:t>αυτοδιοικητικής</w:t>
            </w:r>
            <w:proofErr w:type="spellEnd"/>
            <w:r w:rsidR="003409DE" w:rsidRPr="005F622B">
              <w:rPr>
                <w:rFonts w:ascii="Times New Roman" w:eastAsia="Times New Roman" w:hAnsi="Times New Roman" w:cs="Times New Roman"/>
                <w:sz w:val="32"/>
                <w:szCs w:val="32"/>
                <w:lang w:eastAsia="el-GR"/>
              </w:rPr>
              <w:t xml:space="preserve"> </w:t>
            </w:r>
            <w:r w:rsidR="003409DE" w:rsidRPr="005F622B">
              <w:rPr>
                <w:rFonts w:ascii="Times New Roman" w:eastAsia="Times New Roman" w:hAnsi="Times New Roman" w:cs="Times New Roman"/>
                <w:sz w:val="32"/>
                <w:szCs w:val="32"/>
                <w:lang w:eastAsia="el-GR"/>
              </w:rPr>
              <w:lastRenderedPageBreak/>
              <w:t>περιφέρειας φαίνεται να δημιουργεί μια νέα πραγματικότητα και να τίθεται θεσμικό ζήτημα ισορροπίας από τη στιγμή μάλιστα που η εποπτεία, κατά τις πάγιες διατάξεις, δεν ανήκει στην Αποκεντρωμένη Διοίκηση αλλά σε μια άλλη ανεξάρτητη υπηρεσία (Αυτοτελής Υπηρεσία ΟΤΑ), οπότε η Αποκεντρωμένη Διοίκηση χάνει μια σημαντική αρμοδιότητα.</w:t>
            </w:r>
          </w:p>
          <w:p w:rsidR="00C53A7E" w:rsidRPr="005F622B" w:rsidRDefault="00E167C3" w:rsidP="00D71016">
            <w:pPr>
              <w:spacing w:before="100" w:beforeAutospacing="1" w:line="240" w:lineRule="auto"/>
              <w:rPr>
                <w:rFonts w:ascii="Times New Roman" w:eastAsia="Times New Roman" w:hAnsi="Times New Roman" w:cs="Times New Roman"/>
                <w:sz w:val="32"/>
                <w:szCs w:val="32"/>
                <w:lang w:eastAsia="el-GR"/>
              </w:rPr>
            </w:pPr>
            <w:r w:rsidRPr="005F622B">
              <w:rPr>
                <w:rFonts w:ascii="Times New Roman" w:eastAsia="Times New Roman" w:hAnsi="Times New Roman" w:cs="Times New Roman"/>
                <w:sz w:val="32"/>
                <w:szCs w:val="32"/>
                <w:lang w:eastAsia="el-GR"/>
              </w:rPr>
              <w:t xml:space="preserve">Στο ζήτημα της μεταφοράς κρατικών και ανακατανομής αρμοδιοτήτων μεταξύ των δύο βαθμών αυτοδιοίκησης, ένα σχέδιο ουσιαστικής αποκέντρωσης πρέπει να περιλαμβάνει μεταβίβαση κυρίως στον </w:t>
            </w:r>
            <w:proofErr w:type="spellStart"/>
            <w:r w:rsidRPr="005F622B">
              <w:rPr>
                <w:rFonts w:ascii="Times New Roman" w:eastAsia="Times New Roman" w:hAnsi="Times New Roman" w:cs="Times New Roman"/>
                <w:sz w:val="32"/>
                <w:szCs w:val="32"/>
                <w:lang w:eastAsia="el-GR"/>
              </w:rPr>
              <w:t>β΄</w:t>
            </w:r>
            <w:proofErr w:type="spellEnd"/>
            <w:r w:rsidRPr="005F622B">
              <w:rPr>
                <w:rFonts w:ascii="Times New Roman" w:eastAsia="Times New Roman" w:hAnsi="Times New Roman" w:cs="Times New Roman"/>
                <w:sz w:val="32"/>
                <w:szCs w:val="32"/>
                <w:lang w:eastAsia="el-GR"/>
              </w:rPr>
              <w:t xml:space="preserve"> βαθμό όλων των αρμοδιοτήτων της κρατικής περιφέρειας, όπως και όλων των αποκεντρωμένων υπηρεσιών του κράτους. </w:t>
            </w:r>
          </w:p>
          <w:p w:rsidR="00E167C3" w:rsidRPr="005F622B" w:rsidRDefault="00E167C3" w:rsidP="00D71016">
            <w:pPr>
              <w:spacing w:before="100" w:beforeAutospacing="1" w:line="240" w:lineRule="auto"/>
              <w:rPr>
                <w:rFonts w:ascii="Times New Roman" w:eastAsia="Times New Roman" w:hAnsi="Times New Roman" w:cs="Times New Roman"/>
                <w:sz w:val="32"/>
                <w:szCs w:val="32"/>
                <w:lang w:eastAsia="el-GR"/>
              </w:rPr>
            </w:pPr>
            <w:r w:rsidRPr="005F622B">
              <w:rPr>
                <w:rFonts w:ascii="Times New Roman" w:eastAsia="Times New Roman" w:hAnsi="Times New Roman" w:cs="Times New Roman"/>
                <w:sz w:val="32"/>
                <w:szCs w:val="32"/>
                <w:lang w:eastAsia="el-GR"/>
              </w:rPr>
              <w:t xml:space="preserve">Εξαίρεση από τη μεταβίβαση πρέπει να υπάρξει στις αρμοδιότητες των Υπουργείων Εξωτερικών, Εθνικής Άμυνας, Προστασίας του Πολίτη, Δικαιοσύνης, Οικονομικών και Πολιτισμού (τομέας Αρχαιολογίας). Στο πλαίσιο αυτό πρέπει να καταργηθούν η κρατική περιφέρεια και όλες οι αποκεντρωμένες </w:t>
            </w:r>
            <w:proofErr w:type="spellStart"/>
            <w:r w:rsidRPr="005F622B">
              <w:rPr>
                <w:rFonts w:ascii="Times New Roman" w:eastAsia="Times New Roman" w:hAnsi="Times New Roman" w:cs="Times New Roman"/>
                <w:sz w:val="32"/>
                <w:szCs w:val="32"/>
                <w:lang w:eastAsia="el-GR"/>
              </w:rPr>
              <w:t>μονοκλαδικές</w:t>
            </w:r>
            <w:proofErr w:type="spellEnd"/>
            <w:r w:rsidRPr="005F622B">
              <w:rPr>
                <w:rFonts w:ascii="Times New Roman" w:eastAsia="Times New Roman" w:hAnsi="Times New Roman" w:cs="Times New Roman"/>
                <w:sz w:val="32"/>
                <w:szCs w:val="32"/>
                <w:lang w:eastAsia="el-GR"/>
              </w:rPr>
              <w:t xml:space="preserve"> δομές των Υπουργείων (Αγροτικής Ανάπτυξης, Εργασίας, κ.τ.λ.) στις περιφέρειες και τους νομούς, και να μην επιτρέπεται να υπάρχουν σ’ αυτό το επίπεδο αποκεντρωμένες κρατικές υπηρεσίες με αντικείμενα παράλληλα με αυτά της αυτοδιοίκησης. </w:t>
            </w:r>
          </w:p>
          <w:p w:rsidR="003409DE" w:rsidRPr="005F622B" w:rsidRDefault="003409DE" w:rsidP="00481F25">
            <w:pPr>
              <w:spacing w:before="100" w:beforeAutospacing="1" w:line="240" w:lineRule="auto"/>
              <w:rPr>
                <w:rFonts w:ascii="Times New Roman" w:eastAsia="Times New Roman" w:hAnsi="Times New Roman" w:cs="Times New Roman"/>
                <w:sz w:val="32"/>
                <w:szCs w:val="32"/>
                <w:lang w:eastAsia="el-GR"/>
              </w:rPr>
            </w:pPr>
          </w:p>
        </w:tc>
      </w:tr>
    </w:tbl>
    <w:p w:rsidR="003409DE" w:rsidRPr="005F622B" w:rsidRDefault="008649A8" w:rsidP="00D71016">
      <w:pPr>
        <w:spacing w:line="240" w:lineRule="auto"/>
        <w:rPr>
          <w:rFonts w:ascii="Times New Roman" w:hAnsi="Times New Roman" w:cs="Times New Roman"/>
          <w:sz w:val="32"/>
          <w:szCs w:val="32"/>
        </w:rPr>
      </w:pPr>
      <w:r w:rsidRPr="005F622B">
        <w:rPr>
          <w:rFonts w:ascii="Times New Roman" w:hAnsi="Times New Roman" w:cs="Times New Roman"/>
          <w:sz w:val="32"/>
          <w:szCs w:val="32"/>
        </w:rPr>
        <w:lastRenderedPageBreak/>
        <w:t>Τ</w:t>
      </w:r>
      <w:r w:rsidR="003409DE" w:rsidRPr="005F622B">
        <w:rPr>
          <w:rFonts w:ascii="Times New Roman" w:hAnsi="Times New Roman" w:cs="Times New Roman"/>
          <w:sz w:val="32"/>
          <w:szCs w:val="32"/>
        </w:rPr>
        <w:t xml:space="preserve">ο πρόγραμμα «Καλλικράτης» χαρακτηρίζεται από μια βασική καινοτομία: ότι επιχειρήθηκε, για πρώτη φορά, συνολική  προσέγγιση των δύο βαθμίδων της αυτοδιοίκησης και  της αποκεντρωμένης διοίκησης. Η βασική του αδυναμία είναι ότι δεν περιέλαβε την κορυφαία   των μεταρρυθμίσεων,   δηλαδή τη ριζική αλλαγή  της δομής και λειτουργίας της κεντρικής Διοίκησης, που   παραμένει κεντρικό πολιτικό ζήτημα της χώρας και μεγάλος εθνικός μας στόχος. </w:t>
      </w:r>
    </w:p>
    <w:p w:rsidR="003409DE" w:rsidRPr="005F622B" w:rsidRDefault="003409DE" w:rsidP="00D71016">
      <w:pPr>
        <w:spacing w:line="240" w:lineRule="auto"/>
        <w:rPr>
          <w:rFonts w:ascii="Times New Roman" w:hAnsi="Times New Roman" w:cs="Times New Roman"/>
          <w:sz w:val="32"/>
          <w:szCs w:val="32"/>
        </w:rPr>
      </w:pPr>
      <w:r w:rsidRPr="005F622B">
        <w:rPr>
          <w:rFonts w:ascii="Times New Roman" w:hAnsi="Times New Roman" w:cs="Times New Roman"/>
          <w:sz w:val="32"/>
          <w:szCs w:val="32"/>
        </w:rPr>
        <w:t xml:space="preserve">Αναγκαία, αλλά όχι ικανή συνθήκη για την επίτευξη </w:t>
      </w:r>
      <w:r w:rsidR="008649A8" w:rsidRPr="005F622B">
        <w:rPr>
          <w:rFonts w:ascii="Times New Roman" w:hAnsi="Times New Roman" w:cs="Times New Roman"/>
          <w:sz w:val="32"/>
          <w:szCs w:val="32"/>
        </w:rPr>
        <w:t>του</w:t>
      </w:r>
      <w:r w:rsidRPr="005F622B">
        <w:rPr>
          <w:rFonts w:ascii="Times New Roman" w:hAnsi="Times New Roman" w:cs="Times New Roman"/>
          <w:sz w:val="32"/>
          <w:szCs w:val="32"/>
        </w:rPr>
        <w:t xml:space="preserve"> </w:t>
      </w:r>
      <w:r w:rsidR="008649A8" w:rsidRPr="005F622B">
        <w:rPr>
          <w:rFonts w:ascii="Times New Roman" w:hAnsi="Times New Roman" w:cs="Times New Roman"/>
          <w:sz w:val="32"/>
          <w:szCs w:val="32"/>
        </w:rPr>
        <w:t>στόχου</w:t>
      </w:r>
      <w:r w:rsidRPr="005F622B">
        <w:rPr>
          <w:rFonts w:ascii="Times New Roman" w:hAnsi="Times New Roman" w:cs="Times New Roman"/>
          <w:sz w:val="32"/>
          <w:szCs w:val="32"/>
        </w:rPr>
        <w:t xml:space="preserve"> </w:t>
      </w:r>
      <w:r w:rsidR="008649A8" w:rsidRPr="005F622B">
        <w:rPr>
          <w:rFonts w:ascii="Times New Roman" w:hAnsi="Times New Roman" w:cs="Times New Roman"/>
          <w:sz w:val="32"/>
          <w:szCs w:val="32"/>
        </w:rPr>
        <w:t>αυτού</w:t>
      </w:r>
      <w:r w:rsidRPr="005F622B">
        <w:rPr>
          <w:rFonts w:ascii="Times New Roman" w:hAnsi="Times New Roman" w:cs="Times New Roman"/>
          <w:sz w:val="32"/>
          <w:szCs w:val="32"/>
        </w:rPr>
        <w:t xml:space="preserve"> είναι η ενίσχυση της των κεντρικών υπηρεσιών του κράτους και παράλληλα η ενδυνάμωση της αποκέντρωσης</w:t>
      </w:r>
      <w:r w:rsidR="008649A8" w:rsidRPr="005F622B">
        <w:rPr>
          <w:rFonts w:ascii="Times New Roman" w:hAnsi="Times New Roman" w:cs="Times New Roman"/>
          <w:sz w:val="32"/>
          <w:szCs w:val="32"/>
        </w:rPr>
        <w:t xml:space="preserve"> </w:t>
      </w:r>
      <w:r w:rsidRPr="005F622B">
        <w:rPr>
          <w:rFonts w:ascii="Times New Roman" w:hAnsi="Times New Roman" w:cs="Times New Roman"/>
          <w:sz w:val="32"/>
          <w:szCs w:val="32"/>
        </w:rPr>
        <w:t>με την αντίστοιχη αποκέντρωση πόρων.</w:t>
      </w:r>
    </w:p>
    <w:p w:rsidR="003409DE" w:rsidRPr="005F622B" w:rsidRDefault="008649A8" w:rsidP="00D71016">
      <w:pPr>
        <w:spacing w:line="240" w:lineRule="auto"/>
        <w:rPr>
          <w:rFonts w:ascii="Times New Roman" w:hAnsi="Times New Roman" w:cs="Times New Roman"/>
          <w:sz w:val="32"/>
          <w:szCs w:val="32"/>
        </w:rPr>
      </w:pPr>
      <w:r w:rsidRPr="005F622B">
        <w:rPr>
          <w:rFonts w:ascii="Times New Roman" w:hAnsi="Times New Roman" w:cs="Times New Roman"/>
          <w:sz w:val="32"/>
          <w:szCs w:val="32"/>
        </w:rPr>
        <w:t xml:space="preserve">Με </w:t>
      </w:r>
      <w:r w:rsidR="003409DE" w:rsidRPr="005F622B">
        <w:rPr>
          <w:rFonts w:ascii="Times New Roman" w:hAnsi="Times New Roman" w:cs="Times New Roman"/>
          <w:sz w:val="32"/>
          <w:szCs w:val="32"/>
        </w:rPr>
        <w:t xml:space="preserve">τη συνταγματική αναθεώρηση του 2001 δόθηκε η δυνατότητα να ανατίθεται με νόμο στους ΟΤΑ η άσκηση αρμοδιοτήτων που αποτελούν αποστολή του κράτους. Η δυνατότητα αυτή θα πρέπει να αξιοποιηθεί. Έτσι, αντί να προβλέπεται εξαντλητικά τι ανήκει στους ΟΤΑ, το σωστό είναι να απαριθμούνται περιοριστικά και με σαφήνεια οι αρμοδιότητες που είναι αναγκαίο να παραμείνουν στη διαχείριση ενός επιτελικού κεντρικού κράτους και των αποκεντρωμένων οργάνων του. Όλες οι άλλες αρμοδιότητες να αποδοθούν στους </w:t>
      </w:r>
      <w:proofErr w:type="spellStart"/>
      <w:r w:rsidR="003409DE" w:rsidRPr="005F622B">
        <w:rPr>
          <w:rFonts w:ascii="Times New Roman" w:hAnsi="Times New Roman" w:cs="Times New Roman"/>
          <w:sz w:val="32"/>
          <w:szCs w:val="32"/>
        </w:rPr>
        <w:t>αυτοδιοικητικούς</w:t>
      </w:r>
      <w:proofErr w:type="spellEnd"/>
      <w:r w:rsidR="003409DE" w:rsidRPr="005F622B">
        <w:rPr>
          <w:rFonts w:ascii="Times New Roman" w:hAnsi="Times New Roman" w:cs="Times New Roman"/>
          <w:sz w:val="32"/>
          <w:szCs w:val="32"/>
        </w:rPr>
        <w:t xml:space="preserve"> θεσμούς, διευρύνοντας σημαντικά την έννοια των </w:t>
      </w:r>
      <w:r w:rsidR="003409DE" w:rsidRPr="005F622B">
        <w:rPr>
          <w:rFonts w:ascii="Times New Roman" w:hAnsi="Times New Roman" w:cs="Times New Roman"/>
          <w:sz w:val="32"/>
          <w:szCs w:val="32"/>
        </w:rPr>
        <w:lastRenderedPageBreak/>
        <w:t>«τοπικών υποθέσεων» και αντιστρέφοντας ουσιαστικά, υπέρ της Αυτοδιοίκησης, το τεκμήριο της αρμοδιότητας.</w:t>
      </w:r>
    </w:p>
    <w:p w:rsidR="003409DE" w:rsidRPr="005F622B" w:rsidRDefault="003409DE" w:rsidP="00D71016">
      <w:pPr>
        <w:tabs>
          <w:tab w:val="left" w:pos="7425"/>
        </w:tabs>
        <w:spacing w:line="240" w:lineRule="auto"/>
        <w:rPr>
          <w:rFonts w:ascii="Times New Roman" w:hAnsi="Times New Roman" w:cs="Times New Roman"/>
          <w:b/>
          <w:sz w:val="32"/>
          <w:szCs w:val="32"/>
        </w:rPr>
      </w:pPr>
      <w:r w:rsidRPr="005F622B">
        <w:rPr>
          <w:rFonts w:ascii="Times New Roman" w:hAnsi="Times New Roman" w:cs="Times New Roman"/>
          <w:b/>
          <w:sz w:val="32"/>
          <w:szCs w:val="32"/>
        </w:rPr>
        <w:t>Το άρθρο 101 του Συντάγματος προβλέπει ρητά ότι η διοίκηση του κράτους οργανώνεται σύμφωνα με το αποκεντρωτικό σύστημα. Προβλέπει, επίσης, ρητά την ύπαρξη περιφερειακών κρατικών οργάνων.</w:t>
      </w:r>
    </w:p>
    <w:p w:rsidR="003409DE" w:rsidRPr="005F622B" w:rsidRDefault="003409DE" w:rsidP="00D71016">
      <w:pPr>
        <w:spacing w:line="240" w:lineRule="auto"/>
        <w:rPr>
          <w:rFonts w:ascii="Times New Roman" w:hAnsi="Times New Roman" w:cs="Times New Roman"/>
          <w:sz w:val="32"/>
          <w:szCs w:val="32"/>
        </w:rPr>
      </w:pPr>
      <w:r w:rsidRPr="005F622B">
        <w:rPr>
          <w:rFonts w:ascii="Times New Roman" w:hAnsi="Times New Roman" w:cs="Times New Roman"/>
          <w:sz w:val="32"/>
          <w:szCs w:val="32"/>
        </w:rPr>
        <w:t>Η μεταρρύθμιση του Καλλικράτη μπορεί να προσέγγισε μεν ενιαία τις δύο βαθμίδες της αυτοδιοίκησης και  την αποκεντρωμένη διοίκηση, δεν έλυσε όμως το πρόβλημα του κατακερματισμού που εξακολουθεί να υπάρχει στη διοίκηση  των αποκεντρωμένων κρατικών λειτουργιών και αρμοδιοτήτων.  Το αποτέλεσμα είναι η Αποκεντρωμένη Διοίκηση και ο διορισμένος από την κυβέρνηση Γενικός Γραμματέας της να μην αποτελούν το ενιαίο κέντρο διοίκησης των</w:t>
      </w:r>
      <w:r w:rsidR="008649A8" w:rsidRPr="005F622B">
        <w:rPr>
          <w:rFonts w:ascii="Times New Roman" w:hAnsi="Times New Roman" w:cs="Times New Roman"/>
          <w:sz w:val="32"/>
          <w:szCs w:val="32"/>
        </w:rPr>
        <w:t xml:space="preserve"> </w:t>
      </w:r>
      <w:r w:rsidRPr="005F622B">
        <w:rPr>
          <w:rFonts w:ascii="Times New Roman" w:hAnsi="Times New Roman" w:cs="Times New Roman"/>
          <w:sz w:val="32"/>
          <w:szCs w:val="32"/>
        </w:rPr>
        <w:t xml:space="preserve">αποκεντρωμένων στην αντίστοιχη περιφέρεια κρατικών λειτουργιών και αρμοδιοτήτων, αφού δίπλα τους υπάρχουν και λειτουργούν ανεξάρτητα, αναφερόμενες στα οικεία υπουργεία,  οι Υγειονομικές Περιφέρειες,  οι Περιφερειακές Διευθύνσεις Εκπαίδευσης, τα περιφερειακά όργανα της Αστυνομίας, της Πυροσβεστικής και του Λιμενικού Σώματος, οι υπηρεσίες του Υπουργείου Οικονομικών, του Υπουργείου Πολιτισμού κλπ.  </w:t>
      </w:r>
    </w:p>
    <w:p w:rsidR="003409DE" w:rsidRPr="005F622B" w:rsidRDefault="003409DE" w:rsidP="00D71016">
      <w:pPr>
        <w:spacing w:line="240" w:lineRule="auto"/>
        <w:rPr>
          <w:rFonts w:ascii="Times New Roman" w:hAnsi="Times New Roman" w:cs="Times New Roman"/>
          <w:sz w:val="32"/>
          <w:szCs w:val="32"/>
        </w:rPr>
      </w:pPr>
      <w:r w:rsidRPr="005F622B">
        <w:rPr>
          <w:rFonts w:ascii="Times New Roman" w:hAnsi="Times New Roman" w:cs="Times New Roman"/>
          <w:sz w:val="32"/>
          <w:szCs w:val="32"/>
        </w:rPr>
        <w:t xml:space="preserve"> </w:t>
      </w:r>
      <w:r w:rsidR="008649A8" w:rsidRPr="005F622B">
        <w:rPr>
          <w:rFonts w:ascii="Times New Roman" w:hAnsi="Times New Roman" w:cs="Times New Roman"/>
          <w:sz w:val="32"/>
          <w:szCs w:val="32"/>
        </w:rPr>
        <w:t>Τ</w:t>
      </w:r>
      <w:r w:rsidRPr="005F622B">
        <w:rPr>
          <w:rFonts w:ascii="Times New Roman" w:hAnsi="Times New Roman" w:cs="Times New Roman"/>
          <w:sz w:val="32"/>
          <w:szCs w:val="32"/>
        </w:rPr>
        <w:t xml:space="preserve">ο κεντρικό κράτος προφανώς και θα διατηρεί κάποιες αποκεντρωμένες υπηρεσίες, όπου αυτό είναι αναγκαίο, δεν υπάρχει όμως κανένας απολύτως λόγος να διατηρηθούν οι  Αποκεντρωμένες Διοικήσεις  και, φυσικά, ο μετακλητός Γενικός Γραμματέας. </w:t>
      </w:r>
      <w:r w:rsidR="00A90E4D" w:rsidRPr="005F622B">
        <w:rPr>
          <w:rFonts w:ascii="Times New Roman" w:hAnsi="Times New Roman" w:cs="Times New Roman"/>
          <w:sz w:val="32"/>
          <w:szCs w:val="32"/>
        </w:rPr>
        <w:t>Πρέπει άμεσα η κεντρική διοίκηση να προχωρήσει σ</w:t>
      </w:r>
      <w:r w:rsidRPr="005F622B">
        <w:rPr>
          <w:rFonts w:ascii="Times New Roman" w:hAnsi="Times New Roman" w:cs="Times New Roman"/>
          <w:sz w:val="32"/>
          <w:szCs w:val="32"/>
        </w:rPr>
        <w:t>τη συγκρότηση  των Αυτοτελών Υπηρεσιών Εποπτείας ΟΤΑ που προβλέπονται από τον «Καλλικράτη» και την επιλογή των Ελεγκτών Νομιμότητας.</w:t>
      </w:r>
    </w:p>
    <w:p w:rsidR="003409DE" w:rsidRPr="005F622B" w:rsidRDefault="003409DE" w:rsidP="00D71016">
      <w:pPr>
        <w:spacing w:line="240" w:lineRule="auto"/>
        <w:rPr>
          <w:rFonts w:ascii="Times New Roman" w:hAnsi="Times New Roman" w:cs="Times New Roman"/>
          <w:sz w:val="32"/>
          <w:szCs w:val="32"/>
        </w:rPr>
      </w:pPr>
    </w:p>
    <w:p w:rsidR="003409DE" w:rsidRPr="005F622B" w:rsidRDefault="003409DE" w:rsidP="00D71016">
      <w:pPr>
        <w:spacing w:before="100" w:beforeAutospacing="1" w:line="240" w:lineRule="auto"/>
        <w:rPr>
          <w:rFonts w:ascii="Times New Roman" w:eastAsia="Times New Roman" w:hAnsi="Times New Roman" w:cs="Times New Roman"/>
          <w:sz w:val="32"/>
          <w:szCs w:val="32"/>
          <w:u w:val="single"/>
          <w:lang w:eastAsia="el-GR"/>
        </w:rPr>
      </w:pPr>
      <w:r w:rsidRPr="005F622B">
        <w:rPr>
          <w:rFonts w:ascii="Times New Roman" w:eastAsia="Times New Roman" w:hAnsi="Times New Roman" w:cs="Times New Roman"/>
          <w:sz w:val="32"/>
          <w:szCs w:val="32"/>
          <w:u w:val="single"/>
          <w:lang w:eastAsia="el-GR"/>
        </w:rPr>
        <w:t>ΘΕΣΕΙΣ- ΠΡΟΤΑΣΕΙΣ</w:t>
      </w:r>
    </w:p>
    <w:p w:rsidR="003409DE" w:rsidRPr="005F622B" w:rsidRDefault="003409DE" w:rsidP="00D71016">
      <w:pPr>
        <w:spacing w:line="240" w:lineRule="auto"/>
        <w:rPr>
          <w:rFonts w:ascii="Times New Roman" w:hAnsi="Times New Roman" w:cs="Times New Roman"/>
          <w:sz w:val="32"/>
          <w:szCs w:val="32"/>
        </w:rPr>
      </w:pPr>
      <w:r w:rsidRPr="005F622B">
        <w:rPr>
          <w:rFonts w:ascii="Times New Roman" w:hAnsi="Times New Roman" w:cs="Times New Roman"/>
          <w:sz w:val="32"/>
          <w:szCs w:val="32"/>
        </w:rPr>
        <w:t>Η κατάργηση των Αποκεντρωμένων Διοικήσεων ήρθε πρόσφατα ξανά στο προσκήνιο. Οι σχέσεις των δύο θεσμών, ιδιαίτερα δε των επικεφαλείς τους, δηλαδή των 13 Περιφερειαρχών και των 7 Γενικών Γραμματέων των Αποκεντρωμένων Αυτοδιοικήσεων, υπήρξε εξαρχής ανταγωνιστική. Ο ανταγωνισμός ενισχύθηκε και από την συνεχή απουσία «θεσμικής μνήμης» και «μεταρρυθμιστικού προσανατολισμού» στο Υπουργείο Εσωτερικών έτσι ώστε να μην καθορίζονται με σαφήνεια τα όρια λειτουργίας των νέων διοικητικών δομών και να μην σχεδιάζεται η πορεία της εξέλιξής τους.</w:t>
      </w:r>
    </w:p>
    <w:p w:rsidR="003409DE" w:rsidRPr="005F622B" w:rsidRDefault="003409DE" w:rsidP="00D71016">
      <w:pPr>
        <w:spacing w:line="240" w:lineRule="auto"/>
        <w:rPr>
          <w:rFonts w:ascii="Times New Roman" w:hAnsi="Times New Roman" w:cs="Times New Roman"/>
          <w:sz w:val="32"/>
          <w:szCs w:val="32"/>
        </w:rPr>
      </w:pPr>
      <w:r w:rsidRPr="005F622B">
        <w:rPr>
          <w:rFonts w:ascii="Times New Roman" w:hAnsi="Times New Roman" w:cs="Times New Roman"/>
          <w:sz w:val="32"/>
          <w:szCs w:val="32"/>
        </w:rPr>
        <w:t>Σήμερα το ζήτημα της «τύχης» των Αποκεντρωμένων Διοικήσεων τίθεται κάτω από τρεις διακριτές οπτικές γωνίες.</w:t>
      </w:r>
    </w:p>
    <w:p w:rsidR="003409DE" w:rsidRPr="005F622B" w:rsidRDefault="003409DE" w:rsidP="00D71016">
      <w:pPr>
        <w:spacing w:line="240" w:lineRule="auto"/>
        <w:ind w:hanging="360"/>
        <w:rPr>
          <w:rFonts w:ascii="Times New Roman" w:hAnsi="Times New Roman" w:cs="Times New Roman"/>
          <w:sz w:val="32"/>
          <w:szCs w:val="32"/>
        </w:rPr>
      </w:pPr>
      <w:r w:rsidRPr="005F622B">
        <w:rPr>
          <w:rFonts w:ascii="Times New Roman" w:hAnsi="Times New Roman" w:cs="Times New Roman"/>
          <w:sz w:val="32"/>
          <w:szCs w:val="32"/>
        </w:rPr>
        <w:lastRenderedPageBreak/>
        <w:t xml:space="preserve">·    Η κατάργηση εντάσσεται στο πλαίσιο της μείωσης των νομικών προσώπων του δημοσίου τομέα και στην πρακτική: </w:t>
      </w:r>
      <w:r w:rsidRPr="005F622B">
        <w:rPr>
          <w:rFonts w:ascii="Times New Roman" w:hAnsi="Times New Roman" w:cs="Times New Roman"/>
          <w:i/>
          <w:iCs/>
          <w:sz w:val="32"/>
          <w:szCs w:val="32"/>
        </w:rPr>
        <w:t>«ότι μπορεί να κοπεί κόβεται»</w:t>
      </w:r>
    </w:p>
    <w:p w:rsidR="003409DE" w:rsidRPr="005F622B" w:rsidRDefault="003409DE" w:rsidP="00D71016">
      <w:pPr>
        <w:spacing w:line="240" w:lineRule="auto"/>
        <w:ind w:hanging="360"/>
        <w:rPr>
          <w:rFonts w:ascii="Times New Roman" w:hAnsi="Times New Roman" w:cs="Times New Roman"/>
          <w:sz w:val="32"/>
          <w:szCs w:val="32"/>
        </w:rPr>
      </w:pPr>
      <w:r w:rsidRPr="005F622B">
        <w:rPr>
          <w:rFonts w:ascii="Times New Roman" w:hAnsi="Times New Roman" w:cs="Times New Roman"/>
          <w:sz w:val="32"/>
          <w:szCs w:val="32"/>
        </w:rPr>
        <w:t xml:space="preserve">·   </w:t>
      </w:r>
      <w:r w:rsidR="00695241" w:rsidRPr="005F622B">
        <w:rPr>
          <w:rFonts w:ascii="Times New Roman" w:hAnsi="Times New Roman" w:cs="Times New Roman"/>
          <w:sz w:val="32"/>
          <w:szCs w:val="32"/>
        </w:rPr>
        <w:t xml:space="preserve"> </w:t>
      </w:r>
      <w:r w:rsidRPr="005F622B">
        <w:rPr>
          <w:rFonts w:ascii="Times New Roman" w:hAnsi="Times New Roman" w:cs="Times New Roman"/>
          <w:sz w:val="32"/>
          <w:szCs w:val="32"/>
        </w:rPr>
        <w:t>Η κατάργηση αποτελεί ευκαιρία για την απρόσκοπτη ανάπτυξη του θεσμού της αιρετής Περιφέρειας.</w:t>
      </w:r>
    </w:p>
    <w:p w:rsidR="003409DE" w:rsidRPr="005F622B" w:rsidRDefault="003409DE" w:rsidP="00D71016">
      <w:pPr>
        <w:spacing w:line="240" w:lineRule="auto"/>
        <w:ind w:hanging="360"/>
        <w:rPr>
          <w:rFonts w:ascii="Times New Roman" w:hAnsi="Times New Roman" w:cs="Times New Roman"/>
          <w:sz w:val="32"/>
          <w:szCs w:val="32"/>
        </w:rPr>
      </w:pPr>
      <w:r w:rsidRPr="005F622B">
        <w:rPr>
          <w:rFonts w:ascii="Times New Roman" w:hAnsi="Times New Roman" w:cs="Times New Roman"/>
          <w:sz w:val="32"/>
          <w:szCs w:val="32"/>
        </w:rPr>
        <w:t>·    Η κατάργηση των Αποκεντρωμένων Διοικήσεων αποτελεί ένα αναγκαίο βήμα- αλλά όχι ικανό- βήμα για την ανασυγκρότηση της διοικητικής δομής του Κράτους, για την αρχιτεκτονική του διοικητικού συστήματος σε νέα βάση λαμβάνοντας υπόψη και το ευρωπαϊκό κεκτημένο.</w:t>
      </w:r>
    </w:p>
    <w:p w:rsidR="00695241" w:rsidRPr="005F622B" w:rsidRDefault="00695241" w:rsidP="00D71016">
      <w:pPr>
        <w:spacing w:line="240" w:lineRule="auto"/>
        <w:rPr>
          <w:rFonts w:ascii="Times New Roman" w:hAnsi="Times New Roman" w:cs="Times New Roman"/>
          <w:sz w:val="32"/>
          <w:szCs w:val="32"/>
        </w:rPr>
      </w:pPr>
      <w:bookmarkStart w:id="0" w:name="more"/>
      <w:bookmarkEnd w:id="0"/>
    </w:p>
    <w:p w:rsidR="003409DE" w:rsidRPr="005F622B" w:rsidRDefault="003409DE" w:rsidP="00D71016">
      <w:pPr>
        <w:spacing w:line="240" w:lineRule="auto"/>
        <w:rPr>
          <w:rFonts w:ascii="Times New Roman" w:hAnsi="Times New Roman" w:cs="Times New Roman"/>
          <w:sz w:val="32"/>
          <w:szCs w:val="32"/>
        </w:rPr>
      </w:pPr>
      <w:r w:rsidRPr="005F622B">
        <w:rPr>
          <w:rFonts w:ascii="Times New Roman" w:hAnsi="Times New Roman" w:cs="Times New Roman"/>
          <w:sz w:val="32"/>
          <w:szCs w:val="32"/>
        </w:rPr>
        <w:t>Η κατάργηση των Αποκεντρωμένων Διοικήσεων πρέπει να δρομολογηθεί στο πλαίσιο ενός συνολικού σχεδίου μεταρρύθμισης στο διοικητικό σύστημα της χώρας. Κρίσιμες πτυχές του σχεδίου πέραν εκείνων που αναφέρονται στην οργάνωση πραγματικά επιτελικού κράτους είναι:</w:t>
      </w:r>
    </w:p>
    <w:p w:rsidR="003409DE" w:rsidRPr="005F622B" w:rsidRDefault="003409DE" w:rsidP="00D71016">
      <w:pPr>
        <w:numPr>
          <w:ilvl w:val="0"/>
          <w:numId w:val="3"/>
        </w:numPr>
        <w:spacing w:before="100" w:beforeAutospacing="1" w:line="240" w:lineRule="auto"/>
        <w:rPr>
          <w:rFonts w:ascii="Times New Roman" w:hAnsi="Times New Roman" w:cs="Times New Roman"/>
          <w:sz w:val="32"/>
          <w:szCs w:val="32"/>
        </w:rPr>
      </w:pPr>
      <w:r w:rsidRPr="005F622B">
        <w:rPr>
          <w:rFonts w:ascii="Times New Roman" w:hAnsi="Times New Roman" w:cs="Times New Roman"/>
          <w:b/>
          <w:bCs/>
          <w:sz w:val="32"/>
          <w:szCs w:val="32"/>
        </w:rPr>
        <w:t xml:space="preserve">Η μεταβίβαση νέων αρμοδιοτήτων από τις Αποκεντρωμένες Διοικήσεις στις Περιφέρειες. </w:t>
      </w:r>
    </w:p>
    <w:p w:rsidR="003409DE" w:rsidRPr="005F622B" w:rsidRDefault="003409DE" w:rsidP="00D71016">
      <w:pPr>
        <w:numPr>
          <w:ilvl w:val="0"/>
          <w:numId w:val="3"/>
        </w:numPr>
        <w:spacing w:before="100" w:beforeAutospacing="1" w:line="240" w:lineRule="auto"/>
        <w:rPr>
          <w:rFonts w:ascii="Times New Roman" w:hAnsi="Times New Roman" w:cs="Times New Roman"/>
          <w:sz w:val="32"/>
          <w:szCs w:val="32"/>
        </w:rPr>
      </w:pPr>
      <w:r w:rsidRPr="005F622B">
        <w:rPr>
          <w:rFonts w:ascii="Times New Roman" w:hAnsi="Times New Roman" w:cs="Times New Roman"/>
          <w:b/>
          <w:sz w:val="32"/>
          <w:szCs w:val="32"/>
        </w:rPr>
        <w:t xml:space="preserve">Η ανάθεση στις Περιφέρειες και των κρατικών λειτουργιών που σήμερα ασκούν οι Αποκεντρωμένες Διοικήσεις  με ειδικό πλαίσιο ελέγχου και συντονισμού της άσκησης αυτών των αρμοδιοτήτων από τα αντίστοιχα Υπουργεία. </w:t>
      </w:r>
    </w:p>
    <w:p w:rsidR="003409DE" w:rsidRPr="005F622B" w:rsidRDefault="003409DE" w:rsidP="00D71016">
      <w:pPr>
        <w:numPr>
          <w:ilvl w:val="0"/>
          <w:numId w:val="3"/>
        </w:numPr>
        <w:spacing w:before="100" w:beforeAutospacing="1" w:line="240" w:lineRule="auto"/>
        <w:rPr>
          <w:rFonts w:ascii="Times New Roman" w:hAnsi="Times New Roman" w:cs="Times New Roman"/>
          <w:sz w:val="32"/>
          <w:szCs w:val="32"/>
        </w:rPr>
      </w:pPr>
      <w:r w:rsidRPr="005F622B">
        <w:rPr>
          <w:rFonts w:ascii="Times New Roman" w:hAnsi="Times New Roman" w:cs="Times New Roman"/>
          <w:b/>
          <w:sz w:val="32"/>
          <w:szCs w:val="32"/>
        </w:rPr>
        <w:t xml:space="preserve">Συγκρότηση Συμβουλίου Αποκέντρωσης για τον προγραμματικό συντονισμό των Υπουργείων, των Περιφερειών και των Δήμων. </w:t>
      </w:r>
    </w:p>
    <w:p w:rsidR="003409DE" w:rsidRPr="005F622B" w:rsidRDefault="003409DE" w:rsidP="00D71016">
      <w:pPr>
        <w:numPr>
          <w:ilvl w:val="0"/>
          <w:numId w:val="3"/>
        </w:numPr>
        <w:spacing w:before="100" w:beforeAutospacing="1" w:line="240" w:lineRule="auto"/>
        <w:rPr>
          <w:rFonts w:ascii="Times New Roman" w:hAnsi="Times New Roman" w:cs="Times New Roman"/>
          <w:sz w:val="32"/>
          <w:szCs w:val="32"/>
        </w:rPr>
      </w:pPr>
      <w:r w:rsidRPr="005F622B">
        <w:rPr>
          <w:rFonts w:ascii="Times New Roman" w:hAnsi="Times New Roman" w:cs="Times New Roman"/>
          <w:b/>
          <w:sz w:val="32"/>
          <w:szCs w:val="32"/>
        </w:rPr>
        <w:t xml:space="preserve">Κρίσιμο βήμα στην κατεύθυνση αυτή είναι επίσης η άμεση συγκρότηση των Υπηρεσιών Ελεγκτή Νομιμότητας και ο άμεσος ορισμός των Ελεγκτών Νομιμότητας. Παράλληλα πρέπει να αναθεωρηθεί όλο το πλαίσιο των ελέγχων στους ΟΤΑ με βάση τις αρχές της ενοποίησης και της απλούστευσης των διαδικασιών ελέγχου νομιμότητας και </w:t>
      </w:r>
      <w:r w:rsidRPr="005F622B">
        <w:rPr>
          <w:rFonts w:ascii="Times New Roman" w:hAnsi="Times New Roman" w:cs="Times New Roman"/>
          <w:b/>
          <w:bCs/>
          <w:sz w:val="32"/>
          <w:szCs w:val="32"/>
        </w:rPr>
        <w:t>χρηστής διοίκησης</w:t>
      </w:r>
      <w:r w:rsidRPr="005F622B">
        <w:rPr>
          <w:rFonts w:ascii="Times New Roman" w:hAnsi="Times New Roman" w:cs="Times New Roman"/>
          <w:sz w:val="32"/>
          <w:szCs w:val="32"/>
        </w:rPr>
        <w:t xml:space="preserve"> (των όρων δηλαδή της χρηστής διοίκησης αντί του θεσμικά ξεπερασμένου "πειθαρχικού ελέγχου"). Στο θέμα αυτό είναι χρήσιμη η αξιοποίηση της εμπειρίας των ευρωπαϊκών χωρών και η ενσωμάτωση του ευρωπαϊκού κεκτημένου. Οι δομές του ελέγχου της νομιμότητας και της χρηστής διοίκησης είναι αναγκαίο να υπάγονται κεντρικά σε Ανεξάρτητη Αρχή της οποίας οι Ελεγκτές Νομιμότητας είναι το αποκεντρωμένο επίπεδο και να κοπεί κάθε σχέση με την Κεντρική Διοίκηση και εν προκειμένω με το Υπουργείο Εσωτερικών.</w:t>
      </w:r>
    </w:p>
    <w:p w:rsidR="00695241" w:rsidRPr="005F622B" w:rsidRDefault="00695241" w:rsidP="00D71016">
      <w:pPr>
        <w:pStyle w:val="a6"/>
        <w:spacing w:line="240" w:lineRule="auto"/>
        <w:rPr>
          <w:rFonts w:ascii="Times New Roman" w:hAnsi="Times New Roman" w:cs="Times New Roman"/>
          <w:sz w:val="32"/>
          <w:szCs w:val="32"/>
        </w:rPr>
      </w:pPr>
    </w:p>
    <w:p w:rsidR="00A90E4D" w:rsidRPr="005F622B" w:rsidRDefault="00E167C3" w:rsidP="00D71016">
      <w:pPr>
        <w:pStyle w:val="a6"/>
        <w:spacing w:line="240" w:lineRule="auto"/>
        <w:rPr>
          <w:rFonts w:ascii="Times New Roman" w:hAnsi="Times New Roman" w:cs="Times New Roman"/>
          <w:sz w:val="32"/>
          <w:szCs w:val="32"/>
        </w:rPr>
      </w:pPr>
      <w:r w:rsidRPr="005F622B">
        <w:rPr>
          <w:rFonts w:ascii="Times New Roman" w:hAnsi="Times New Roman" w:cs="Times New Roman"/>
          <w:b/>
          <w:sz w:val="32"/>
          <w:szCs w:val="32"/>
        </w:rPr>
        <w:lastRenderedPageBreak/>
        <w:t>«Δε γίνεται να συνεχίσουμε έτσι με τα εντελλόμενα. Εμείς ζητάμε να γίνεται έλεγχος νομιμότητας και όχι σκοπιμότητας. Ή είμαστε Περιφερειάρχες ή δεν είμαστε. Είναι αδιανόητο κατόπιν εορτής να γίνεται έλεγχος σκοπιμότητας και να σταματούν οι πληρωμές στα εντελλόμενα. Ο έλεγχος πρέπει να γίνεται προληπτικά και όχι εκ των υστέρων»</w:t>
      </w:r>
      <w:r w:rsidR="00695241" w:rsidRPr="005F622B">
        <w:rPr>
          <w:rFonts w:ascii="Times New Roman" w:hAnsi="Times New Roman" w:cs="Times New Roman"/>
          <w:sz w:val="32"/>
          <w:szCs w:val="32"/>
        </w:rPr>
        <w:t xml:space="preserve"> λένε οι Περιφερειάρχες.</w:t>
      </w:r>
      <w:r w:rsidR="00D71016" w:rsidRPr="005F622B">
        <w:rPr>
          <w:rFonts w:ascii="Times New Roman" w:hAnsi="Times New Roman" w:cs="Times New Roman"/>
          <w:sz w:val="32"/>
          <w:szCs w:val="32"/>
        </w:rPr>
        <w:t xml:space="preserve">  </w:t>
      </w:r>
    </w:p>
    <w:p w:rsidR="00A90E4D" w:rsidRPr="005F622B" w:rsidRDefault="00A90E4D" w:rsidP="00D71016">
      <w:pPr>
        <w:pStyle w:val="a6"/>
        <w:spacing w:line="240" w:lineRule="auto"/>
        <w:rPr>
          <w:rFonts w:ascii="Times New Roman" w:hAnsi="Times New Roman" w:cs="Times New Roman"/>
          <w:sz w:val="32"/>
          <w:szCs w:val="32"/>
        </w:rPr>
      </w:pPr>
    </w:p>
    <w:p w:rsidR="003409DE" w:rsidRPr="005F622B" w:rsidRDefault="003409DE" w:rsidP="00D71016">
      <w:pPr>
        <w:pStyle w:val="a6"/>
        <w:spacing w:line="240" w:lineRule="auto"/>
        <w:rPr>
          <w:rFonts w:ascii="Times New Roman" w:hAnsi="Times New Roman" w:cs="Times New Roman"/>
          <w:sz w:val="32"/>
          <w:szCs w:val="32"/>
        </w:rPr>
      </w:pPr>
      <w:r w:rsidRPr="005F622B">
        <w:rPr>
          <w:rFonts w:ascii="Times New Roman" w:hAnsi="Times New Roman" w:cs="Times New Roman"/>
          <w:sz w:val="32"/>
          <w:szCs w:val="32"/>
        </w:rPr>
        <w:t>Ουσιαστικά</w:t>
      </w:r>
      <w:r w:rsidR="00695241" w:rsidRPr="005F622B">
        <w:rPr>
          <w:rFonts w:ascii="Times New Roman" w:hAnsi="Times New Roman" w:cs="Times New Roman"/>
          <w:sz w:val="32"/>
          <w:szCs w:val="32"/>
        </w:rPr>
        <w:t xml:space="preserve"> οι ΑΔ</w:t>
      </w:r>
      <w:r w:rsidRPr="005F622B">
        <w:rPr>
          <w:rFonts w:ascii="Times New Roman" w:hAnsi="Times New Roman" w:cs="Times New Roman"/>
          <w:sz w:val="32"/>
          <w:szCs w:val="32"/>
        </w:rPr>
        <w:t xml:space="preserve"> λειτουργούν ως τοποτηρητές του κυβερνητικού κομματικού </w:t>
      </w:r>
      <w:r w:rsidR="00D71016" w:rsidRPr="005F622B">
        <w:rPr>
          <w:rFonts w:ascii="Times New Roman" w:hAnsi="Times New Roman" w:cs="Times New Roman"/>
          <w:sz w:val="32"/>
          <w:szCs w:val="32"/>
        </w:rPr>
        <w:t xml:space="preserve">    </w:t>
      </w:r>
      <w:r w:rsidRPr="005F622B">
        <w:rPr>
          <w:rFonts w:ascii="Times New Roman" w:hAnsi="Times New Roman" w:cs="Times New Roman"/>
          <w:sz w:val="32"/>
          <w:szCs w:val="32"/>
        </w:rPr>
        <w:t>συστήματος  και με αυτή την νομιμοποίηση χειρίζονται κρίσιμα διοικητικά και αναπτυξιακά θέματα ενώ παράλληλα λειτουργούν ως επόπτες των Περιφερειών και των Δήμων διαιωνίζοντας  την καχυποψία και την επιφύλαξη του κεντρικού κομματικού και διοικητικού συστήματος έναντι της διοικητικής και πολιτικής αυτοτέλειας της τοπικής αυτοδιοίκησης.</w:t>
      </w:r>
    </w:p>
    <w:p w:rsidR="003409DE" w:rsidRPr="005F622B" w:rsidRDefault="003409DE" w:rsidP="00D71016">
      <w:pPr>
        <w:numPr>
          <w:ilvl w:val="0"/>
          <w:numId w:val="23"/>
        </w:numPr>
        <w:spacing w:before="100" w:beforeAutospacing="1" w:line="240" w:lineRule="auto"/>
        <w:rPr>
          <w:rFonts w:ascii="Times New Roman" w:hAnsi="Times New Roman" w:cs="Times New Roman"/>
          <w:sz w:val="32"/>
          <w:szCs w:val="32"/>
        </w:rPr>
      </w:pPr>
      <w:r w:rsidRPr="005F622B">
        <w:rPr>
          <w:rFonts w:ascii="Times New Roman" w:hAnsi="Times New Roman" w:cs="Times New Roman"/>
          <w:b/>
          <w:sz w:val="32"/>
          <w:szCs w:val="32"/>
        </w:rPr>
        <w:t>Δ</w:t>
      </w:r>
      <w:r w:rsidRPr="005F622B">
        <w:rPr>
          <w:rStyle w:val="a3"/>
          <w:rFonts w:ascii="Times New Roman" w:hAnsi="Times New Roman" w:cs="Times New Roman"/>
          <w:sz w:val="32"/>
          <w:szCs w:val="32"/>
        </w:rPr>
        <w:t>εσμευτική ισχύ</w:t>
      </w:r>
      <w:r w:rsidRPr="005F622B">
        <w:rPr>
          <w:rFonts w:ascii="Times New Roman" w:hAnsi="Times New Roman" w:cs="Times New Roman"/>
          <w:sz w:val="32"/>
          <w:szCs w:val="32"/>
        </w:rPr>
        <w:t xml:space="preserve"> για τις όποιες αποφάσεις της Κυβέρνησης ό</w:t>
      </w:r>
      <w:r w:rsidRPr="005F622B">
        <w:rPr>
          <w:rStyle w:val="a3"/>
          <w:rFonts w:ascii="Times New Roman" w:hAnsi="Times New Roman" w:cs="Times New Roman"/>
          <w:sz w:val="32"/>
          <w:szCs w:val="32"/>
        </w:rPr>
        <w:t xml:space="preserve">ταν η Κρατική Διοίκηση θέλει να εκδώσει οποιαδήποτε κανονιστική πράξη, η οποία αφορά την αειφόρο ανάπτυξη, τα ρυθμιστικά ή χωροταξικά ή πολεοδομικά σχέδια και τις αποφάσεις </w:t>
      </w:r>
      <w:proofErr w:type="spellStart"/>
      <w:r w:rsidRPr="005F622B">
        <w:rPr>
          <w:rStyle w:val="a3"/>
          <w:rFonts w:ascii="Times New Roman" w:hAnsi="Times New Roman" w:cs="Times New Roman"/>
          <w:sz w:val="32"/>
          <w:szCs w:val="32"/>
        </w:rPr>
        <w:t>χωροθέτησης</w:t>
      </w:r>
      <w:proofErr w:type="spellEnd"/>
      <w:r w:rsidRPr="005F622B">
        <w:rPr>
          <w:rStyle w:val="a3"/>
          <w:rFonts w:ascii="Times New Roman" w:hAnsi="Times New Roman" w:cs="Times New Roman"/>
          <w:sz w:val="32"/>
          <w:szCs w:val="32"/>
        </w:rPr>
        <w:t xml:space="preserve"> εγκαταστάσεων και λοιπών δραστηριοτήτων, οφείλει να ζητά τη γνώμη των οικείων αιρετών συλλογικών οργάνων των Περιφερειών, </w:t>
      </w:r>
      <w:r w:rsidRPr="005F622B">
        <w:rPr>
          <w:rFonts w:ascii="Times New Roman" w:hAnsi="Times New Roman" w:cs="Times New Roman"/>
          <w:sz w:val="32"/>
          <w:szCs w:val="32"/>
        </w:rPr>
        <w:t>εάν θέλουμε να μιλάμε για αποκέντρωση σε τοπικό επίπεδο.</w:t>
      </w:r>
    </w:p>
    <w:p w:rsidR="003409DE" w:rsidRPr="005F622B" w:rsidRDefault="003409DE" w:rsidP="00D71016">
      <w:pPr>
        <w:numPr>
          <w:ilvl w:val="0"/>
          <w:numId w:val="24"/>
        </w:numPr>
        <w:spacing w:before="100" w:beforeAutospacing="1" w:line="240" w:lineRule="auto"/>
        <w:rPr>
          <w:rFonts w:ascii="Times New Roman" w:hAnsi="Times New Roman" w:cs="Times New Roman"/>
          <w:sz w:val="32"/>
          <w:szCs w:val="32"/>
        </w:rPr>
      </w:pPr>
      <w:r w:rsidRPr="005F622B">
        <w:rPr>
          <w:rStyle w:val="a3"/>
          <w:rFonts w:ascii="Times New Roman" w:hAnsi="Times New Roman" w:cs="Times New Roman"/>
          <w:sz w:val="32"/>
          <w:szCs w:val="32"/>
        </w:rPr>
        <w:t xml:space="preserve">Οι Περιφερειακές Αυτοδιοικήσεις που έχουν στην αρμοδιότητα τους νησιά (Νοτίου Αιγαίου, Βορείου Αιγαίου, Ιονίου, Αττικής) θα είναι αρμόδιες για το σχεδιασμό, την έγκριση και την παρακολούθηση των σχεδίων των ενδοπεριφερειακών συγκοινωνιών.  </w:t>
      </w:r>
      <w:r w:rsidRPr="005F622B">
        <w:rPr>
          <w:rFonts w:ascii="Times New Roman" w:hAnsi="Times New Roman" w:cs="Times New Roman"/>
          <w:sz w:val="32"/>
          <w:szCs w:val="32"/>
        </w:rPr>
        <w:t>Η συμμετοχή τους στο Συμβούλιο Ακτοπλοϊκών Συνδέσεων θα έχει βαρύνουσα γνώμη στις αποφάσεις του.</w:t>
      </w:r>
    </w:p>
    <w:p w:rsidR="003409DE" w:rsidRPr="005F622B" w:rsidRDefault="003409DE" w:rsidP="00D71016">
      <w:pPr>
        <w:numPr>
          <w:ilvl w:val="0"/>
          <w:numId w:val="25"/>
        </w:numPr>
        <w:spacing w:before="100" w:beforeAutospacing="1" w:line="240" w:lineRule="auto"/>
        <w:rPr>
          <w:rFonts w:ascii="Times New Roman" w:hAnsi="Times New Roman" w:cs="Times New Roman"/>
          <w:sz w:val="32"/>
          <w:szCs w:val="32"/>
        </w:rPr>
      </w:pPr>
      <w:r w:rsidRPr="005F622B">
        <w:rPr>
          <w:rStyle w:val="a3"/>
          <w:rFonts w:ascii="Times New Roman" w:hAnsi="Times New Roman" w:cs="Times New Roman"/>
          <w:sz w:val="32"/>
          <w:szCs w:val="32"/>
        </w:rPr>
        <w:t xml:space="preserve">Οι μετατάξεις των ενδιαφερόμενων υπαλλήλων μεταξύ Περιφερειών να μπορούν να πραγματοποιούνται με κοινές αποφάσεις των Περιφερειαρχών, </w:t>
      </w:r>
      <w:r w:rsidRPr="005F622B">
        <w:rPr>
          <w:rFonts w:ascii="Times New Roman" w:hAnsi="Times New Roman" w:cs="Times New Roman"/>
          <w:sz w:val="32"/>
          <w:szCs w:val="32"/>
        </w:rPr>
        <w:t>κατόπιν σύμφωνης γνώμης των οικείων Υπηρεσιακών Συμβουλίων, χωρίς να χρειάζεται έκδοση απόφασης των αρμόδιων Υπουργών.</w:t>
      </w:r>
    </w:p>
    <w:p w:rsidR="003409DE" w:rsidRPr="005F622B" w:rsidRDefault="003409DE" w:rsidP="00D71016">
      <w:pPr>
        <w:numPr>
          <w:ilvl w:val="0"/>
          <w:numId w:val="26"/>
        </w:numPr>
        <w:spacing w:before="100" w:beforeAutospacing="1" w:line="240" w:lineRule="auto"/>
        <w:rPr>
          <w:rFonts w:ascii="Times New Roman" w:hAnsi="Times New Roman" w:cs="Times New Roman"/>
          <w:sz w:val="32"/>
          <w:szCs w:val="32"/>
        </w:rPr>
      </w:pPr>
      <w:r w:rsidRPr="005F622B">
        <w:rPr>
          <w:rFonts w:ascii="Times New Roman" w:hAnsi="Times New Roman" w:cs="Times New Roman"/>
          <w:sz w:val="32"/>
          <w:szCs w:val="32"/>
        </w:rPr>
        <w:t xml:space="preserve">Έκφραση των τοπικών κοινωνιών που αποτελούν τον πληθυσμό της Περιφερειακής Αυτοδιοίκησης για σοβαρά ζητήματα που τους αφορούν, με </w:t>
      </w:r>
      <w:r w:rsidRPr="005F622B">
        <w:rPr>
          <w:rStyle w:val="a3"/>
          <w:rFonts w:ascii="Times New Roman" w:hAnsi="Times New Roman" w:cs="Times New Roman"/>
          <w:sz w:val="32"/>
          <w:szCs w:val="32"/>
        </w:rPr>
        <w:t>θεσμοθέτηση δημοψηφισμάτων τα οποία θα πραγματοποιούνται είτε με την συγκέντρωση ικανού αριθμού υπογραφών από τους κατοίκους, είτε όταν το Περιφερειακό Συμβούλιο καλείται να πάρει κορυφαίες αποφάσεις.</w:t>
      </w:r>
    </w:p>
    <w:p w:rsidR="00A90E4D" w:rsidRPr="005F622B" w:rsidRDefault="003409DE" w:rsidP="00D71016">
      <w:pPr>
        <w:numPr>
          <w:ilvl w:val="0"/>
          <w:numId w:val="27"/>
        </w:numPr>
        <w:spacing w:before="100" w:beforeAutospacing="1" w:line="240" w:lineRule="auto"/>
        <w:rPr>
          <w:rFonts w:ascii="Times New Roman" w:hAnsi="Times New Roman" w:cs="Times New Roman"/>
          <w:sz w:val="32"/>
          <w:szCs w:val="32"/>
        </w:rPr>
      </w:pPr>
      <w:r w:rsidRPr="005F622B">
        <w:rPr>
          <w:rStyle w:val="a3"/>
          <w:rFonts w:ascii="Times New Roman" w:eastAsiaTheme="majorEastAsia" w:hAnsi="Times New Roman" w:cs="Times New Roman"/>
          <w:sz w:val="32"/>
          <w:szCs w:val="32"/>
        </w:rPr>
        <w:lastRenderedPageBreak/>
        <w:t xml:space="preserve"> Κατάργηση των Αποκεντρωμένων Διοικήσεων. </w:t>
      </w:r>
      <w:r w:rsidR="00A90E4D" w:rsidRPr="005F622B">
        <w:rPr>
          <w:rStyle w:val="a3"/>
          <w:rFonts w:ascii="Times New Roman" w:eastAsiaTheme="majorEastAsia" w:hAnsi="Times New Roman" w:cs="Times New Roman"/>
          <w:sz w:val="32"/>
          <w:szCs w:val="32"/>
        </w:rPr>
        <w:t xml:space="preserve"> </w:t>
      </w:r>
      <w:r w:rsidRPr="005F622B">
        <w:rPr>
          <w:rFonts w:ascii="Times New Roman" w:hAnsi="Times New Roman" w:cs="Times New Roman"/>
          <w:sz w:val="32"/>
          <w:szCs w:val="32"/>
        </w:rPr>
        <w:t xml:space="preserve">Η Α.Δ. λειτουργεί ως </w:t>
      </w:r>
      <w:proofErr w:type="spellStart"/>
      <w:r w:rsidRPr="005F622B">
        <w:rPr>
          <w:rFonts w:ascii="Times New Roman" w:hAnsi="Times New Roman" w:cs="Times New Roman"/>
          <w:sz w:val="32"/>
          <w:szCs w:val="32"/>
        </w:rPr>
        <w:t>υπερσυγκεντρωτικό</w:t>
      </w:r>
      <w:proofErr w:type="spellEnd"/>
      <w:r w:rsidRPr="005F622B">
        <w:rPr>
          <w:rFonts w:ascii="Times New Roman" w:hAnsi="Times New Roman" w:cs="Times New Roman"/>
          <w:sz w:val="32"/>
          <w:szCs w:val="32"/>
        </w:rPr>
        <w:t>, γραφειοκρατικό και απόμακρο μοντέλο, παράγοντας μεταξύ άλλων εμπόδια ελέγχου και συμμετοχής πολιτών και εργαζομένων σε αυτό το μόρφωμα, αλλά και σοβαρότατα προβλήματα όπως:</w:t>
      </w:r>
    </w:p>
    <w:p w:rsidR="003409DE" w:rsidRPr="005F622B" w:rsidRDefault="003409DE" w:rsidP="00A90E4D">
      <w:pPr>
        <w:spacing w:before="100" w:beforeAutospacing="1" w:line="240" w:lineRule="auto"/>
        <w:ind w:left="720"/>
        <w:rPr>
          <w:rFonts w:ascii="Times New Roman" w:hAnsi="Times New Roman" w:cs="Times New Roman"/>
          <w:sz w:val="32"/>
          <w:szCs w:val="32"/>
        </w:rPr>
      </w:pPr>
      <w:r w:rsidRPr="005F622B">
        <w:rPr>
          <w:rFonts w:ascii="Times New Roman" w:hAnsi="Times New Roman" w:cs="Times New Roman"/>
          <w:sz w:val="32"/>
          <w:szCs w:val="32"/>
        </w:rPr>
        <w:t>Μη άσκηση καθετοποιημένης εθνικής δασικής πολιτικής όταν η Ειδική Γραμματεία Δασών και η Γενική Διεύθυνση Δασών είναι στο ΥΠΕΚΑ,  αλλά τα Δασαρχεία και οι Διευθύνσεις Δασών ανήκουν στις Αποκεντρωμένες Διοικήσεις οι οποίες εποπτεύονται από το Υπ. Εσωτερικών. Ούτε βέβαια ασκείται καθετοποιημένη μεταναστευτική πολιτική όταν υπάρχει στο Υπ. Εσωτερικών η Γενική Γραμματεία Μεταναστευτικής Πολιτικής, αλλά οι Διευθύνσεις Αλλοδαπών και Μετανάστευσης καθώς και οι Διευθύνσεις Αστικής Κατάστασης ανήκουν στις Αποκεντρωμένες Διοικήσεις, κ.α.</w:t>
      </w:r>
    </w:p>
    <w:p w:rsidR="003409DE" w:rsidRPr="005F622B" w:rsidRDefault="003409DE" w:rsidP="00D71016">
      <w:pPr>
        <w:pStyle w:val="Web"/>
        <w:spacing w:after="200" w:afterAutospacing="0"/>
        <w:rPr>
          <w:sz w:val="32"/>
          <w:szCs w:val="32"/>
        </w:rPr>
      </w:pPr>
      <w:r w:rsidRPr="005F622B">
        <w:rPr>
          <w:rStyle w:val="a3"/>
          <w:rFonts w:eastAsiaTheme="majorEastAsia"/>
          <w:sz w:val="32"/>
          <w:szCs w:val="32"/>
        </w:rPr>
        <w:t>Στην επικείμενη συνταγματική αναθεώρηση πρέπει να προχωρήσουμε στην αλλαγή του θεσμικού πλαισίου ώστε να καταργηθεί η Αποκεντρωμένη Διοίκηση.</w:t>
      </w:r>
    </w:p>
    <w:tbl>
      <w:tblPr>
        <w:tblW w:w="5000" w:type="pct"/>
        <w:tblCellSpacing w:w="0" w:type="dxa"/>
        <w:tblCellMar>
          <w:top w:w="75" w:type="dxa"/>
          <w:left w:w="75" w:type="dxa"/>
          <w:bottom w:w="75" w:type="dxa"/>
          <w:right w:w="75" w:type="dxa"/>
        </w:tblCellMar>
        <w:tblLook w:val="04A0"/>
      </w:tblPr>
      <w:tblGrid>
        <w:gridCol w:w="10616"/>
      </w:tblGrid>
      <w:tr w:rsidR="003409DE" w:rsidRPr="005F622B" w:rsidTr="00546E82">
        <w:trPr>
          <w:tblCellSpacing w:w="0" w:type="dxa"/>
        </w:trPr>
        <w:tc>
          <w:tcPr>
            <w:tcW w:w="0" w:type="auto"/>
            <w:vAlign w:val="center"/>
            <w:hideMark/>
          </w:tcPr>
          <w:p w:rsidR="003409DE" w:rsidRPr="005F622B" w:rsidRDefault="003409DE" w:rsidP="00D71016">
            <w:pPr>
              <w:spacing w:line="240" w:lineRule="auto"/>
              <w:rPr>
                <w:rFonts w:ascii="Times New Roman" w:hAnsi="Times New Roman" w:cs="Times New Roman"/>
                <w:sz w:val="32"/>
                <w:szCs w:val="32"/>
              </w:rPr>
            </w:pPr>
          </w:p>
        </w:tc>
      </w:tr>
      <w:tr w:rsidR="003409DE" w:rsidRPr="005F622B" w:rsidTr="00546E82">
        <w:trPr>
          <w:tblCellSpacing w:w="0" w:type="dxa"/>
        </w:trPr>
        <w:tc>
          <w:tcPr>
            <w:tcW w:w="0" w:type="auto"/>
            <w:vAlign w:val="center"/>
            <w:hideMark/>
          </w:tcPr>
          <w:p w:rsidR="00F826A8" w:rsidRPr="005F622B" w:rsidRDefault="00F826A8" w:rsidP="00D71016">
            <w:pPr>
              <w:spacing w:line="240" w:lineRule="auto"/>
              <w:rPr>
                <w:rFonts w:ascii="Times New Roman" w:hAnsi="Times New Roman" w:cs="Times New Roman"/>
                <w:sz w:val="32"/>
                <w:szCs w:val="32"/>
                <w:u w:val="single"/>
              </w:rPr>
            </w:pPr>
          </w:p>
          <w:p w:rsidR="00166176" w:rsidRPr="005F622B" w:rsidRDefault="005C7C14" w:rsidP="00166176">
            <w:pPr>
              <w:spacing w:before="100" w:beforeAutospacing="1" w:line="240" w:lineRule="auto"/>
              <w:rPr>
                <w:rFonts w:ascii="Times New Roman" w:eastAsia="Times New Roman" w:hAnsi="Times New Roman" w:cs="Times New Roman"/>
                <w:sz w:val="32"/>
                <w:szCs w:val="32"/>
                <w:lang w:eastAsia="el-GR"/>
              </w:rPr>
            </w:pPr>
            <w:r w:rsidRPr="005F622B">
              <w:rPr>
                <w:rFonts w:ascii="Times New Roman" w:eastAsia="Times New Roman" w:hAnsi="Times New Roman" w:cs="Times New Roman"/>
                <w:b/>
                <w:sz w:val="32"/>
                <w:szCs w:val="32"/>
                <w:lang w:eastAsia="el-GR"/>
              </w:rPr>
              <w:t>Στη σημερινή πραγματικότητα η</w:t>
            </w:r>
            <w:r w:rsidR="00166176" w:rsidRPr="005F622B">
              <w:rPr>
                <w:rFonts w:ascii="Times New Roman" w:eastAsia="Times New Roman" w:hAnsi="Times New Roman" w:cs="Times New Roman"/>
                <w:b/>
                <w:sz w:val="32"/>
                <w:szCs w:val="32"/>
                <w:lang w:eastAsia="el-GR"/>
              </w:rPr>
              <w:t xml:space="preserve"> ΑΔ πρέπει να εκσυγχρονισθεί σε λειτουργία υπηρεσιών και όχι εκτέλεσης έργων</w:t>
            </w:r>
            <w:r w:rsidR="00166176" w:rsidRPr="005F622B">
              <w:rPr>
                <w:rFonts w:ascii="Times New Roman" w:eastAsia="Times New Roman" w:hAnsi="Times New Roman" w:cs="Times New Roman"/>
                <w:sz w:val="32"/>
                <w:szCs w:val="32"/>
                <w:lang w:eastAsia="el-GR"/>
              </w:rPr>
              <w:t xml:space="preserve">. Στόχος πρέπει να είναι η ενοποίηση και η σύνδεση όλων των υπηρεσιών με συστήματα ενιαίου ηλεκτρονικού πρωτοκόλλου, τηλεδιάσκεψης, ηλεκτρονικής υπογραφής κλπ. Να δημιουργηθούν σημεία αναφοράς και σύνδεσης, σε συνεργασία με τους ΟΤΑ, ώστε οι πολίτες να επικοινωνούν άμεσα με τις υπηρεσίες, να καταθέτουν ηλεκτρονικά τα αιτήματά τους, να ξέρουν που βρίσκεται κάθε στιγμή η υπόθεσή τους, ποιος την χειρίζεται, πότε θα διεκπεραιωθεί. </w:t>
            </w:r>
          </w:p>
          <w:p w:rsidR="005C7C14" w:rsidRPr="005F622B" w:rsidRDefault="00166176" w:rsidP="00166176">
            <w:pPr>
              <w:spacing w:before="100" w:beforeAutospacing="1" w:line="240" w:lineRule="auto"/>
              <w:rPr>
                <w:rFonts w:ascii="Times New Roman" w:eastAsia="Times New Roman" w:hAnsi="Times New Roman" w:cs="Times New Roman"/>
                <w:sz w:val="32"/>
                <w:szCs w:val="32"/>
                <w:lang w:eastAsia="el-GR"/>
              </w:rPr>
            </w:pPr>
            <w:r w:rsidRPr="005F622B">
              <w:rPr>
                <w:rFonts w:ascii="Times New Roman" w:eastAsia="Times New Roman" w:hAnsi="Times New Roman" w:cs="Times New Roman"/>
                <w:sz w:val="32"/>
                <w:szCs w:val="32"/>
                <w:lang w:eastAsia="el-GR"/>
              </w:rPr>
              <w:t>Πρέπει να ενοποιηθούν σε μια ενιαία ψηφιακή</w:t>
            </w:r>
            <w:r w:rsidR="005C7C14" w:rsidRPr="005F622B">
              <w:rPr>
                <w:rFonts w:ascii="Times New Roman" w:eastAsia="Times New Roman" w:hAnsi="Times New Roman" w:cs="Times New Roman"/>
                <w:sz w:val="32"/>
                <w:szCs w:val="32"/>
                <w:lang w:eastAsia="el-GR"/>
              </w:rPr>
              <w:t xml:space="preserve"> βάση όλα τα δεδομένα που υπάρχουν</w:t>
            </w:r>
            <w:r w:rsidRPr="005F622B">
              <w:rPr>
                <w:rFonts w:ascii="Times New Roman" w:eastAsia="Times New Roman" w:hAnsi="Times New Roman" w:cs="Times New Roman"/>
                <w:sz w:val="32"/>
                <w:szCs w:val="32"/>
                <w:lang w:eastAsia="el-GR"/>
              </w:rPr>
              <w:t xml:space="preserve"> για τις Δασικές υπηρεσίες. Στοιχεία του κτηματολογίου,  αεροφωτογραφίες, στοιχεία της Γεωγραφικής Υπηρεσίας του Στρατού, σύγχρονα δορυφορικά δεδομένα, ώστε </w:t>
            </w:r>
            <w:r w:rsidR="005C7C14" w:rsidRPr="005F622B">
              <w:rPr>
                <w:rFonts w:ascii="Times New Roman" w:eastAsia="Times New Roman" w:hAnsi="Times New Roman" w:cs="Times New Roman"/>
                <w:sz w:val="32"/>
                <w:szCs w:val="32"/>
                <w:lang w:eastAsia="el-GR"/>
              </w:rPr>
              <w:t xml:space="preserve">να είναι δυνατόν </w:t>
            </w:r>
            <w:r w:rsidRPr="005F622B">
              <w:rPr>
                <w:rFonts w:ascii="Times New Roman" w:eastAsia="Times New Roman" w:hAnsi="Times New Roman" w:cs="Times New Roman"/>
                <w:sz w:val="32"/>
                <w:szCs w:val="32"/>
                <w:lang w:eastAsia="el-GR"/>
              </w:rPr>
              <w:t>άμεσα</w:t>
            </w:r>
            <w:r w:rsidR="005C7C14" w:rsidRPr="005F622B">
              <w:rPr>
                <w:rFonts w:ascii="Times New Roman" w:eastAsia="Times New Roman" w:hAnsi="Times New Roman" w:cs="Times New Roman"/>
                <w:sz w:val="32"/>
                <w:szCs w:val="32"/>
                <w:lang w:eastAsia="el-GR"/>
              </w:rPr>
              <w:t>,</w:t>
            </w:r>
            <w:r w:rsidRPr="005F622B">
              <w:rPr>
                <w:rFonts w:ascii="Times New Roman" w:eastAsia="Times New Roman" w:hAnsi="Times New Roman" w:cs="Times New Roman"/>
                <w:sz w:val="32"/>
                <w:szCs w:val="32"/>
                <w:lang w:eastAsia="el-GR"/>
              </w:rPr>
              <w:t xml:space="preserve"> να </w:t>
            </w:r>
            <w:r w:rsidR="005C7C14" w:rsidRPr="005F622B">
              <w:rPr>
                <w:rFonts w:ascii="Times New Roman" w:eastAsia="Times New Roman" w:hAnsi="Times New Roman" w:cs="Times New Roman"/>
                <w:sz w:val="32"/>
                <w:szCs w:val="32"/>
                <w:lang w:eastAsia="el-GR"/>
              </w:rPr>
              <w:t>γίνεται ο</w:t>
            </w:r>
            <w:r w:rsidRPr="005F622B">
              <w:rPr>
                <w:rFonts w:ascii="Times New Roman" w:eastAsia="Times New Roman" w:hAnsi="Times New Roman" w:cs="Times New Roman"/>
                <w:sz w:val="32"/>
                <w:szCs w:val="32"/>
                <w:lang w:eastAsia="el-GR"/>
              </w:rPr>
              <w:t xml:space="preserve"> χαρακτηρισμό</w:t>
            </w:r>
            <w:r w:rsidR="005C7C14" w:rsidRPr="005F622B">
              <w:rPr>
                <w:rFonts w:ascii="Times New Roman" w:eastAsia="Times New Roman" w:hAnsi="Times New Roman" w:cs="Times New Roman"/>
                <w:sz w:val="32"/>
                <w:szCs w:val="32"/>
                <w:lang w:eastAsia="el-GR"/>
              </w:rPr>
              <w:t>ς</w:t>
            </w:r>
            <w:r w:rsidRPr="005F622B">
              <w:rPr>
                <w:rFonts w:ascii="Times New Roman" w:eastAsia="Times New Roman" w:hAnsi="Times New Roman" w:cs="Times New Roman"/>
                <w:sz w:val="32"/>
                <w:szCs w:val="32"/>
                <w:lang w:eastAsia="el-GR"/>
              </w:rPr>
              <w:t xml:space="preserve"> και της παραμικρής έκτασης. Να μπορούμε σε πραγματικό χρόνο να βλέπουμε τις αναδασωτέες εκτάσεις, την εξέλιξή των αυθαιρέτων κλπ. Ένα αντίστοιχο πρόγραμμα αφορά στις υπηρεσίες υδάτων, στην πλήρη καταγραφ</w:t>
            </w:r>
            <w:r w:rsidR="005C7C14" w:rsidRPr="005F622B">
              <w:rPr>
                <w:rFonts w:ascii="Times New Roman" w:eastAsia="Times New Roman" w:hAnsi="Times New Roman" w:cs="Times New Roman"/>
                <w:sz w:val="32"/>
                <w:szCs w:val="32"/>
                <w:lang w:eastAsia="el-GR"/>
              </w:rPr>
              <w:t>ή της κατάστασης, της επάρκειας και</w:t>
            </w:r>
            <w:r w:rsidRPr="005F622B">
              <w:rPr>
                <w:rFonts w:ascii="Times New Roman" w:eastAsia="Times New Roman" w:hAnsi="Times New Roman" w:cs="Times New Roman"/>
                <w:sz w:val="32"/>
                <w:szCs w:val="32"/>
                <w:lang w:eastAsia="el-GR"/>
              </w:rPr>
              <w:t xml:space="preserve"> της ποιότητας των υδάτινων πόρων. Στην καταγραφή γεωτρήσεων, </w:t>
            </w:r>
            <w:proofErr w:type="spellStart"/>
            <w:r w:rsidRPr="005F622B">
              <w:rPr>
                <w:rFonts w:ascii="Times New Roman" w:eastAsia="Times New Roman" w:hAnsi="Times New Roman" w:cs="Times New Roman"/>
                <w:sz w:val="32"/>
                <w:szCs w:val="32"/>
                <w:lang w:eastAsia="el-GR"/>
              </w:rPr>
              <w:t>λιμνοδεξαμενών</w:t>
            </w:r>
            <w:proofErr w:type="spellEnd"/>
            <w:r w:rsidRPr="005F622B">
              <w:rPr>
                <w:rFonts w:ascii="Times New Roman" w:eastAsia="Times New Roman" w:hAnsi="Times New Roman" w:cs="Times New Roman"/>
                <w:sz w:val="32"/>
                <w:szCs w:val="32"/>
                <w:lang w:eastAsia="el-GR"/>
              </w:rPr>
              <w:t xml:space="preserve">, ταμιευτήρων, φραγμάτων, κλπ. Κάτι αντίστοιχο πρέπει να γίνει με τα κληροδοτήματα, την καταγραφή τους και τον έλεγχο της διαχείρισής τους. </w:t>
            </w:r>
          </w:p>
          <w:p w:rsidR="00166176" w:rsidRPr="005F622B" w:rsidRDefault="00166176" w:rsidP="00166176">
            <w:pPr>
              <w:spacing w:before="100" w:beforeAutospacing="1" w:line="240" w:lineRule="auto"/>
              <w:rPr>
                <w:rFonts w:ascii="Times New Roman" w:eastAsia="Times New Roman" w:hAnsi="Times New Roman" w:cs="Times New Roman"/>
                <w:sz w:val="32"/>
                <w:szCs w:val="32"/>
                <w:lang w:eastAsia="el-GR"/>
              </w:rPr>
            </w:pPr>
            <w:r w:rsidRPr="005F622B">
              <w:rPr>
                <w:rFonts w:ascii="Times New Roman" w:eastAsia="Times New Roman" w:hAnsi="Times New Roman" w:cs="Times New Roman"/>
                <w:sz w:val="32"/>
                <w:szCs w:val="32"/>
                <w:lang w:eastAsia="el-GR"/>
              </w:rPr>
              <w:lastRenderedPageBreak/>
              <w:t>Στόχος πρέπει να είναι ο εκμηδενισμός των αποστάσεων και η ριζική μείωση της γραφειοκρατίας, ώστε τελικά κανένας πολίτης ή φορέας να μην χρειάζεται να μετακινηθεί από τον τόπο του για να έρθει σε επαφή με μια κρατική υπηρεσία, να εξυπηρετείται άμεσα και να ελέγχει κάθε στιγμή τη διαδικασία διεκπεραίωσης κάθε υπόθεσης.</w:t>
            </w:r>
          </w:p>
          <w:p w:rsidR="00166176" w:rsidRPr="005F622B" w:rsidRDefault="00166176" w:rsidP="00D71016">
            <w:pPr>
              <w:spacing w:line="240" w:lineRule="auto"/>
              <w:rPr>
                <w:rFonts w:ascii="Times New Roman" w:hAnsi="Times New Roman" w:cs="Times New Roman"/>
                <w:sz w:val="32"/>
                <w:szCs w:val="32"/>
                <w:u w:val="single"/>
              </w:rPr>
            </w:pPr>
          </w:p>
        </w:tc>
      </w:tr>
      <w:tr w:rsidR="003409DE" w:rsidRPr="005F622B" w:rsidTr="00546E82">
        <w:trPr>
          <w:tblCellSpacing w:w="0" w:type="dxa"/>
        </w:trPr>
        <w:tc>
          <w:tcPr>
            <w:tcW w:w="0" w:type="auto"/>
            <w:vAlign w:val="center"/>
            <w:hideMark/>
          </w:tcPr>
          <w:p w:rsidR="003409DE" w:rsidRPr="005F622B" w:rsidRDefault="003409DE" w:rsidP="00D71016">
            <w:pPr>
              <w:spacing w:line="240" w:lineRule="auto"/>
              <w:rPr>
                <w:rFonts w:ascii="Times New Roman" w:hAnsi="Times New Roman" w:cs="Times New Roman"/>
                <w:sz w:val="32"/>
                <w:szCs w:val="32"/>
              </w:rPr>
            </w:pPr>
          </w:p>
        </w:tc>
      </w:tr>
      <w:tr w:rsidR="003409DE" w:rsidRPr="005F622B" w:rsidTr="00546E82">
        <w:trPr>
          <w:tblCellSpacing w:w="0" w:type="dxa"/>
        </w:trPr>
        <w:tc>
          <w:tcPr>
            <w:tcW w:w="0" w:type="auto"/>
            <w:vAlign w:val="center"/>
            <w:hideMark/>
          </w:tcPr>
          <w:p w:rsidR="003409DE" w:rsidRPr="005F622B" w:rsidRDefault="003409DE" w:rsidP="00D71016">
            <w:pPr>
              <w:spacing w:line="240" w:lineRule="auto"/>
              <w:rPr>
                <w:rFonts w:ascii="Times New Roman" w:hAnsi="Times New Roman" w:cs="Times New Roman"/>
                <w:sz w:val="32"/>
                <w:szCs w:val="32"/>
              </w:rPr>
            </w:pPr>
          </w:p>
        </w:tc>
      </w:tr>
      <w:tr w:rsidR="003409DE" w:rsidRPr="005F622B" w:rsidTr="00546E82">
        <w:trPr>
          <w:tblCellSpacing w:w="0" w:type="dxa"/>
        </w:trPr>
        <w:tc>
          <w:tcPr>
            <w:tcW w:w="0" w:type="auto"/>
            <w:vAlign w:val="center"/>
            <w:hideMark/>
          </w:tcPr>
          <w:p w:rsidR="003409DE" w:rsidRPr="005F622B" w:rsidRDefault="003409DE" w:rsidP="00D71016">
            <w:pPr>
              <w:spacing w:line="240" w:lineRule="auto"/>
              <w:rPr>
                <w:rFonts w:ascii="Times New Roman" w:hAnsi="Times New Roman" w:cs="Times New Roman"/>
                <w:sz w:val="32"/>
                <w:szCs w:val="32"/>
              </w:rPr>
            </w:pPr>
          </w:p>
        </w:tc>
      </w:tr>
    </w:tbl>
    <w:p w:rsidR="005C7C14" w:rsidRPr="005F622B" w:rsidRDefault="005C7C14" w:rsidP="00D71016">
      <w:pPr>
        <w:spacing w:before="100" w:beforeAutospacing="1" w:line="240" w:lineRule="auto"/>
        <w:rPr>
          <w:rFonts w:ascii="Times New Roman" w:eastAsia="Times New Roman" w:hAnsi="Times New Roman" w:cs="Times New Roman"/>
          <w:sz w:val="32"/>
          <w:szCs w:val="32"/>
          <w:u w:val="single"/>
          <w:lang w:eastAsia="el-GR"/>
        </w:rPr>
      </w:pPr>
    </w:p>
    <w:p w:rsidR="003409DE" w:rsidRPr="005F622B" w:rsidRDefault="003409DE" w:rsidP="00D71016">
      <w:pPr>
        <w:spacing w:before="100" w:beforeAutospacing="1" w:line="240" w:lineRule="auto"/>
        <w:rPr>
          <w:rFonts w:ascii="Times New Roman" w:eastAsia="Times New Roman" w:hAnsi="Times New Roman" w:cs="Times New Roman"/>
          <w:sz w:val="32"/>
          <w:szCs w:val="32"/>
          <w:u w:val="single"/>
          <w:lang w:eastAsia="el-GR"/>
        </w:rPr>
      </w:pPr>
      <w:r w:rsidRPr="005F622B">
        <w:rPr>
          <w:rFonts w:ascii="Times New Roman" w:eastAsia="Times New Roman" w:hAnsi="Times New Roman" w:cs="Times New Roman"/>
          <w:sz w:val="32"/>
          <w:szCs w:val="32"/>
          <w:u w:val="single"/>
          <w:lang w:eastAsia="el-GR"/>
        </w:rPr>
        <w:t xml:space="preserve"> ΕΠΙΛΟΓΟ</w:t>
      </w:r>
      <w:r w:rsidR="00F826A8" w:rsidRPr="005F622B">
        <w:rPr>
          <w:rFonts w:ascii="Times New Roman" w:eastAsia="Times New Roman" w:hAnsi="Times New Roman" w:cs="Times New Roman"/>
          <w:sz w:val="32"/>
          <w:szCs w:val="32"/>
          <w:u w:val="single"/>
          <w:lang w:eastAsia="el-GR"/>
        </w:rPr>
        <w:t>Σ</w:t>
      </w:r>
    </w:p>
    <w:p w:rsidR="003409DE" w:rsidRPr="005F622B" w:rsidRDefault="003409DE" w:rsidP="00D71016">
      <w:pPr>
        <w:spacing w:before="100" w:beforeAutospacing="1" w:line="240" w:lineRule="auto"/>
        <w:rPr>
          <w:rFonts w:ascii="Times New Roman" w:eastAsia="Times New Roman" w:hAnsi="Times New Roman" w:cs="Times New Roman"/>
          <w:sz w:val="32"/>
          <w:szCs w:val="32"/>
          <w:lang w:eastAsia="el-GR"/>
        </w:rPr>
      </w:pPr>
      <w:r w:rsidRPr="005F622B">
        <w:rPr>
          <w:rFonts w:ascii="Times New Roman" w:eastAsia="Times New Roman" w:hAnsi="Times New Roman" w:cs="Times New Roman"/>
          <w:sz w:val="32"/>
          <w:szCs w:val="32"/>
          <w:lang w:eastAsia="el-GR"/>
        </w:rPr>
        <w:t>Ζούμε σήμερα κοσμογονικές αλλαγές και ανακατατάξεις σ’ ολόκληρο τον πλανήτη. Ισορροπίες αναδιατάσσονται, νέες οικονομικές δυνάμεις αναδύονται, οι απρόσωπες “αγορές” κερδοσκοπούν ασύστολα και κυριαρχούν έναντι της πραγματικής παραγωγικής οικονομίας και της πολιτικής, επιβάλλοντας όρους και καθορίζοντας τις εξελίξεις. Η Ευρώπη αμφιταλαντεύεται παγιδευμένη σε συντηρητικούς συσχετισμούς και σε άτολμες ηγεσίες. Και η Ελλάδα ζει το τέλος μιας εποχής και την κατάρρευση ενός μοντέλου επίπλαστης ευημερίας. Η ανάγκη να αποφύγουμε την χρεοκοπία έφερε κοινωνικές αδικίες και αναγκαστικά βίαιες διαρθρωτικές αλλαγές που έπρεπε η ίδια η χώρα να επιβάλλει με πιο ομαλούς ρυθμούς και σε μεγαλύτερο χρονικό διάστημα</w:t>
      </w:r>
      <w:r w:rsidR="003B2544" w:rsidRPr="005F622B">
        <w:rPr>
          <w:rFonts w:ascii="Times New Roman" w:eastAsia="Times New Roman" w:hAnsi="Times New Roman" w:cs="Times New Roman"/>
          <w:sz w:val="32"/>
          <w:szCs w:val="32"/>
          <w:lang w:eastAsia="el-GR"/>
        </w:rPr>
        <w:t>.</w:t>
      </w:r>
    </w:p>
    <w:p w:rsidR="007D4603" w:rsidRPr="005F622B" w:rsidRDefault="007D4603" w:rsidP="00F826A8">
      <w:pPr>
        <w:spacing w:line="240" w:lineRule="auto"/>
        <w:rPr>
          <w:rFonts w:ascii="Times New Roman" w:hAnsi="Times New Roman" w:cs="Times New Roman"/>
          <w:sz w:val="32"/>
          <w:szCs w:val="32"/>
        </w:rPr>
      </w:pPr>
      <w:r w:rsidRPr="005F622B">
        <w:rPr>
          <w:rFonts w:ascii="Times New Roman" w:hAnsi="Times New Roman" w:cs="Times New Roman"/>
          <w:sz w:val="32"/>
          <w:szCs w:val="32"/>
        </w:rPr>
        <w:t>Καλούμαστε λοιπόν όλοι με αφοσίωση στις αξίες του τόπου μας, να συμβάλουμε στην περιφερειακή και εθνική προσπάθεια, ώστε να ξεπεράσουμε την κρίση που επικρατεί σε όλα τα επίπεδα και να εξασφαλίσουμε ένα πιο αισιόδοξο και ασφαλές περιβάλλον γ</w:t>
      </w:r>
      <w:r w:rsidR="00166176" w:rsidRPr="005F622B">
        <w:rPr>
          <w:rFonts w:ascii="Times New Roman" w:hAnsi="Times New Roman" w:cs="Times New Roman"/>
          <w:sz w:val="32"/>
          <w:szCs w:val="32"/>
        </w:rPr>
        <w:t>ια όλους τους πολίτες.</w:t>
      </w:r>
    </w:p>
    <w:p w:rsidR="00D71016" w:rsidRPr="005F622B" w:rsidRDefault="00D71016" w:rsidP="00D71016">
      <w:pPr>
        <w:spacing w:before="100" w:beforeAutospacing="1" w:line="240" w:lineRule="auto"/>
        <w:rPr>
          <w:rFonts w:ascii="Times New Roman" w:eastAsia="Times New Roman" w:hAnsi="Times New Roman" w:cs="Times New Roman"/>
          <w:b/>
          <w:bCs/>
          <w:iCs/>
          <w:sz w:val="32"/>
          <w:szCs w:val="32"/>
          <w:lang w:eastAsia="el-GR"/>
        </w:rPr>
      </w:pPr>
    </w:p>
    <w:p w:rsidR="00181923" w:rsidRPr="00705209" w:rsidRDefault="00705209" w:rsidP="00D71016">
      <w:pPr>
        <w:spacing w:line="240" w:lineRule="auto"/>
        <w:rPr>
          <w:rFonts w:ascii="Times New Roman" w:hAnsi="Times New Roman" w:cs="Times New Roman"/>
          <w:b/>
          <w:sz w:val="32"/>
          <w:szCs w:val="32"/>
        </w:rPr>
      </w:pPr>
      <w:r w:rsidRPr="00705209">
        <w:rPr>
          <w:rFonts w:ascii="Times New Roman" w:hAnsi="Times New Roman" w:cs="Times New Roman"/>
          <w:sz w:val="32"/>
          <w:szCs w:val="32"/>
        </w:rPr>
        <w:t xml:space="preserve">                                           </w:t>
      </w:r>
      <w:r>
        <w:rPr>
          <w:rFonts w:ascii="Times New Roman" w:hAnsi="Times New Roman" w:cs="Times New Roman"/>
          <w:sz w:val="32"/>
          <w:szCs w:val="32"/>
        </w:rPr>
        <w:t xml:space="preserve">                  </w:t>
      </w:r>
      <w:r w:rsidRPr="00705209">
        <w:rPr>
          <w:rFonts w:ascii="Times New Roman" w:hAnsi="Times New Roman" w:cs="Times New Roman"/>
          <w:b/>
          <w:sz w:val="32"/>
          <w:szCs w:val="32"/>
        </w:rPr>
        <w:t xml:space="preserve">Γεώργιος Ν. </w:t>
      </w:r>
      <w:proofErr w:type="spellStart"/>
      <w:r w:rsidRPr="00705209">
        <w:rPr>
          <w:rFonts w:ascii="Times New Roman" w:hAnsi="Times New Roman" w:cs="Times New Roman"/>
          <w:b/>
          <w:sz w:val="32"/>
          <w:szCs w:val="32"/>
        </w:rPr>
        <w:t>Καλτσογιάννης</w:t>
      </w:r>
      <w:proofErr w:type="spellEnd"/>
    </w:p>
    <w:p w:rsidR="00705209" w:rsidRPr="00705209" w:rsidRDefault="00705209" w:rsidP="00D71016">
      <w:pPr>
        <w:spacing w:line="240" w:lineRule="auto"/>
        <w:rPr>
          <w:rFonts w:ascii="Times New Roman" w:hAnsi="Times New Roman" w:cs="Times New Roman"/>
          <w:sz w:val="28"/>
          <w:szCs w:val="28"/>
        </w:rPr>
      </w:pPr>
      <w:r>
        <w:rPr>
          <w:rFonts w:ascii="Times New Roman" w:hAnsi="Times New Roman" w:cs="Times New Roman"/>
          <w:sz w:val="32"/>
          <w:szCs w:val="32"/>
        </w:rPr>
        <w:t xml:space="preserve">                                                      </w:t>
      </w:r>
      <w:r w:rsidRPr="00705209">
        <w:rPr>
          <w:rFonts w:ascii="Times New Roman" w:hAnsi="Times New Roman" w:cs="Times New Roman"/>
          <w:sz w:val="28"/>
          <w:szCs w:val="28"/>
        </w:rPr>
        <w:t xml:space="preserve">Θεματικός </w:t>
      </w:r>
      <w:proofErr w:type="spellStart"/>
      <w:r w:rsidRPr="00705209">
        <w:rPr>
          <w:rFonts w:ascii="Times New Roman" w:hAnsi="Times New Roman" w:cs="Times New Roman"/>
          <w:sz w:val="28"/>
          <w:szCs w:val="28"/>
        </w:rPr>
        <w:t>Αντιπεριφερειάρχης</w:t>
      </w:r>
      <w:proofErr w:type="spellEnd"/>
      <w:r w:rsidRPr="00705209">
        <w:rPr>
          <w:rFonts w:ascii="Times New Roman" w:hAnsi="Times New Roman" w:cs="Times New Roman"/>
          <w:sz w:val="28"/>
          <w:szCs w:val="28"/>
        </w:rPr>
        <w:t xml:space="preserve"> Θεσσαλίας</w:t>
      </w:r>
    </w:p>
    <w:p w:rsidR="00705209" w:rsidRPr="00705209" w:rsidRDefault="00705209" w:rsidP="00D71016">
      <w:pPr>
        <w:spacing w:line="240" w:lineRule="auto"/>
        <w:rPr>
          <w:rFonts w:ascii="Times New Roman" w:hAnsi="Times New Roman" w:cs="Times New Roman"/>
          <w:sz w:val="28"/>
          <w:szCs w:val="28"/>
        </w:rPr>
      </w:pPr>
      <w:r w:rsidRPr="0070520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5209">
        <w:rPr>
          <w:rFonts w:ascii="Times New Roman" w:hAnsi="Times New Roman" w:cs="Times New Roman"/>
          <w:sz w:val="28"/>
          <w:szCs w:val="28"/>
        </w:rPr>
        <w:t>Αναπτυξιακού Προγραμματισμού</w:t>
      </w:r>
    </w:p>
    <w:p w:rsidR="00705209" w:rsidRPr="00705209" w:rsidRDefault="00705209" w:rsidP="00D71016">
      <w:pPr>
        <w:spacing w:line="240" w:lineRule="auto"/>
        <w:rPr>
          <w:rFonts w:ascii="Times New Roman" w:hAnsi="Times New Roman" w:cs="Times New Roman"/>
          <w:sz w:val="28"/>
          <w:szCs w:val="28"/>
        </w:rPr>
      </w:pPr>
      <w:r w:rsidRPr="0070520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5209">
        <w:rPr>
          <w:rFonts w:ascii="Times New Roman" w:hAnsi="Times New Roman" w:cs="Times New Roman"/>
          <w:sz w:val="28"/>
          <w:szCs w:val="28"/>
        </w:rPr>
        <w:t>Περιβάλλοντος  &amp;  Β. Σποράδων</w:t>
      </w:r>
    </w:p>
    <w:sectPr w:rsidR="00705209" w:rsidRPr="00705209" w:rsidSect="003F30E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1329"/>
    <w:multiLevelType w:val="multilevel"/>
    <w:tmpl w:val="940E8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B15B80"/>
    <w:multiLevelType w:val="multilevel"/>
    <w:tmpl w:val="05CCB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B922F0"/>
    <w:multiLevelType w:val="multilevel"/>
    <w:tmpl w:val="EF6A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362892"/>
    <w:multiLevelType w:val="multilevel"/>
    <w:tmpl w:val="623A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8C061A"/>
    <w:multiLevelType w:val="multilevel"/>
    <w:tmpl w:val="90FC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1D6B7E"/>
    <w:multiLevelType w:val="multilevel"/>
    <w:tmpl w:val="FFA6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AF3D2C"/>
    <w:multiLevelType w:val="multilevel"/>
    <w:tmpl w:val="10201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37023A"/>
    <w:multiLevelType w:val="multilevel"/>
    <w:tmpl w:val="1C4E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3646B4"/>
    <w:multiLevelType w:val="multilevel"/>
    <w:tmpl w:val="614C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E24886"/>
    <w:multiLevelType w:val="multilevel"/>
    <w:tmpl w:val="2052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6D14FE"/>
    <w:multiLevelType w:val="multilevel"/>
    <w:tmpl w:val="F70A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B83C03"/>
    <w:multiLevelType w:val="multilevel"/>
    <w:tmpl w:val="FAC61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5037DC"/>
    <w:multiLevelType w:val="multilevel"/>
    <w:tmpl w:val="7D44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A664D4"/>
    <w:multiLevelType w:val="multilevel"/>
    <w:tmpl w:val="DDA83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770712"/>
    <w:multiLevelType w:val="multilevel"/>
    <w:tmpl w:val="C0C2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1A2518"/>
    <w:multiLevelType w:val="multilevel"/>
    <w:tmpl w:val="69AA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E3162D"/>
    <w:multiLevelType w:val="multilevel"/>
    <w:tmpl w:val="00A4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602CDA"/>
    <w:multiLevelType w:val="multilevel"/>
    <w:tmpl w:val="BBDE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C65AA1"/>
    <w:multiLevelType w:val="multilevel"/>
    <w:tmpl w:val="3C340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46081B"/>
    <w:multiLevelType w:val="multilevel"/>
    <w:tmpl w:val="56F0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746401"/>
    <w:multiLevelType w:val="multilevel"/>
    <w:tmpl w:val="7E308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E31B7E"/>
    <w:multiLevelType w:val="multilevel"/>
    <w:tmpl w:val="ECB2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77735D"/>
    <w:multiLevelType w:val="multilevel"/>
    <w:tmpl w:val="0692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9818E4"/>
    <w:multiLevelType w:val="multilevel"/>
    <w:tmpl w:val="1BEE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C823CC"/>
    <w:multiLevelType w:val="multilevel"/>
    <w:tmpl w:val="049AE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152BC3"/>
    <w:multiLevelType w:val="multilevel"/>
    <w:tmpl w:val="0602B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2A5314"/>
    <w:multiLevelType w:val="multilevel"/>
    <w:tmpl w:val="D342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E326C6"/>
    <w:multiLevelType w:val="multilevel"/>
    <w:tmpl w:val="8830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AC3A70"/>
    <w:multiLevelType w:val="multilevel"/>
    <w:tmpl w:val="3C3C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FC6CB2"/>
    <w:multiLevelType w:val="multilevel"/>
    <w:tmpl w:val="7430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BB5B70"/>
    <w:multiLevelType w:val="multilevel"/>
    <w:tmpl w:val="6058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EB01BE"/>
    <w:multiLevelType w:val="multilevel"/>
    <w:tmpl w:val="2C42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1497C"/>
    <w:multiLevelType w:val="multilevel"/>
    <w:tmpl w:val="BAC6B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1C36F3"/>
    <w:multiLevelType w:val="multilevel"/>
    <w:tmpl w:val="B082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1E5785"/>
    <w:multiLevelType w:val="multilevel"/>
    <w:tmpl w:val="AA74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AA03FB"/>
    <w:multiLevelType w:val="multilevel"/>
    <w:tmpl w:val="B3C8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BA5D44"/>
    <w:multiLevelType w:val="multilevel"/>
    <w:tmpl w:val="AB2E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0950D1"/>
    <w:multiLevelType w:val="multilevel"/>
    <w:tmpl w:val="390A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203BB2"/>
    <w:multiLevelType w:val="multilevel"/>
    <w:tmpl w:val="A1A0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426EDB"/>
    <w:multiLevelType w:val="multilevel"/>
    <w:tmpl w:val="27101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1"/>
  </w:num>
  <w:num w:numId="3">
    <w:abstractNumId w:val="3"/>
  </w:num>
  <w:num w:numId="4">
    <w:abstractNumId w:val="8"/>
  </w:num>
  <w:num w:numId="5">
    <w:abstractNumId w:val="23"/>
  </w:num>
  <w:num w:numId="6">
    <w:abstractNumId w:val="16"/>
  </w:num>
  <w:num w:numId="7">
    <w:abstractNumId w:val="2"/>
  </w:num>
  <w:num w:numId="8">
    <w:abstractNumId w:val="31"/>
  </w:num>
  <w:num w:numId="9">
    <w:abstractNumId w:val="4"/>
  </w:num>
  <w:num w:numId="10">
    <w:abstractNumId w:val="26"/>
  </w:num>
  <w:num w:numId="11">
    <w:abstractNumId w:val="1"/>
  </w:num>
  <w:num w:numId="12">
    <w:abstractNumId w:val="33"/>
  </w:num>
  <w:num w:numId="13">
    <w:abstractNumId w:val="12"/>
  </w:num>
  <w:num w:numId="14">
    <w:abstractNumId w:val="38"/>
  </w:num>
  <w:num w:numId="15">
    <w:abstractNumId w:val="27"/>
  </w:num>
  <w:num w:numId="16">
    <w:abstractNumId w:val="34"/>
  </w:num>
  <w:num w:numId="17">
    <w:abstractNumId w:val="10"/>
  </w:num>
  <w:num w:numId="18">
    <w:abstractNumId w:val="30"/>
  </w:num>
  <w:num w:numId="19">
    <w:abstractNumId w:val="28"/>
  </w:num>
  <w:num w:numId="20">
    <w:abstractNumId w:val="19"/>
  </w:num>
  <w:num w:numId="21">
    <w:abstractNumId w:val="9"/>
  </w:num>
  <w:num w:numId="22">
    <w:abstractNumId w:val="15"/>
  </w:num>
  <w:num w:numId="23">
    <w:abstractNumId w:val="5"/>
  </w:num>
  <w:num w:numId="24">
    <w:abstractNumId w:val="7"/>
  </w:num>
  <w:num w:numId="25">
    <w:abstractNumId w:val="22"/>
  </w:num>
  <w:num w:numId="26">
    <w:abstractNumId w:val="36"/>
  </w:num>
  <w:num w:numId="27">
    <w:abstractNumId w:val="35"/>
  </w:num>
  <w:num w:numId="28">
    <w:abstractNumId w:val="13"/>
  </w:num>
  <w:num w:numId="29">
    <w:abstractNumId w:val="37"/>
  </w:num>
  <w:num w:numId="30">
    <w:abstractNumId w:val="14"/>
  </w:num>
  <w:num w:numId="31">
    <w:abstractNumId w:val="17"/>
  </w:num>
  <w:num w:numId="32">
    <w:abstractNumId w:val="32"/>
  </w:num>
  <w:num w:numId="33">
    <w:abstractNumId w:val="20"/>
  </w:num>
  <w:num w:numId="34">
    <w:abstractNumId w:val="18"/>
  </w:num>
  <w:num w:numId="35">
    <w:abstractNumId w:val="24"/>
  </w:num>
  <w:num w:numId="36">
    <w:abstractNumId w:val="39"/>
  </w:num>
  <w:num w:numId="37">
    <w:abstractNumId w:val="11"/>
  </w:num>
  <w:num w:numId="38">
    <w:abstractNumId w:val="25"/>
  </w:num>
  <w:num w:numId="39">
    <w:abstractNumId w:val="0"/>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09DE"/>
    <w:rsid w:val="000417DD"/>
    <w:rsid w:val="00057E2E"/>
    <w:rsid w:val="001126F5"/>
    <w:rsid w:val="00132D50"/>
    <w:rsid w:val="001405E1"/>
    <w:rsid w:val="00166176"/>
    <w:rsid w:val="00173EE8"/>
    <w:rsid w:val="00181923"/>
    <w:rsid w:val="00196058"/>
    <w:rsid w:val="001D0F30"/>
    <w:rsid w:val="002121F8"/>
    <w:rsid w:val="00247B12"/>
    <w:rsid w:val="0031745D"/>
    <w:rsid w:val="00332D1F"/>
    <w:rsid w:val="003409DE"/>
    <w:rsid w:val="003B2544"/>
    <w:rsid w:val="00422F81"/>
    <w:rsid w:val="004514E5"/>
    <w:rsid w:val="00481F25"/>
    <w:rsid w:val="004F353D"/>
    <w:rsid w:val="004F468D"/>
    <w:rsid w:val="005C7C14"/>
    <w:rsid w:val="005F622B"/>
    <w:rsid w:val="00600768"/>
    <w:rsid w:val="00695241"/>
    <w:rsid w:val="006E3170"/>
    <w:rsid w:val="00705209"/>
    <w:rsid w:val="007572ED"/>
    <w:rsid w:val="007D4603"/>
    <w:rsid w:val="008649A8"/>
    <w:rsid w:val="008D63BB"/>
    <w:rsid w:val="009167BE"/>
    <w:rsid w:val="00921CBD"/>
    <w:rsid w:val="00965368"/>
    <w:rsid w:val="00A20277"/>
    <w:rsid w:val="00A90E4D"/>
    <w:rsid w:val="00BD7DA5"/>
    <w:rsid w:val="00C53A7E"/>
    <w:rsid w:val="00CE41E2"/>
    <w:rsid w:val="00D71016"/>
    <w:rsid w:val="00E167C3"/>
    <w:rsid w:val="00E805B1"/>
    <w:rsid w:val="00EA0291"/>
    <w:rsid w:val="00EA6255"/>
    <w:rsid w:val="00EF75D7"/>
    <w:rsid w:val="00F15F7A"/>
    <w:rsid w:val="00F56DCC"/>
    <w:rsid w:val="00F826A8"/>
    <w:rsid w:val="00F87F79"/>
    <w:rsid w:val="00F972EC"/>
    <w:rsid w:val="00FB3F8A"/>
    <w:rsid w:val="00FF09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9DE"/>
  </w:style>
  <w:style w:type="paragraph" w:styleId="1">
    <w:name w:val="heading 1"/>
    <w:basedOn w:val="a"/>
    <w:next w:val="a"/>
    <w:link w:val="1Char"/>
    <w:uiPriority w:val="9"/>
    <w:qFormat/>
    <w:rsid w:val="003409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3409DE"/>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3409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409DE"/>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3409DE"/>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semiHidden/>
    <w:rsid w:val="003409DE"/>
    <w:rPr>
      <w:rFonts w:asciiTheme="majorHAnsi" w:eastAsiaTheme="majorEastAsia" w:hAnsiTheme="majorHAnsi" w:cstheme="majorBidi"/>
      <w:b/>
      <w:bCs/>
      <w:color w:val="4F81BD" w:themeColor="accent1"/>
    </w:rPr>
  </w:style>
  <w:style w:type="paragraph" w:styleId="Web">
    <w:name w:val="Normal (Web)"/>
    <w:basedOn w:val="a"/>
    <w:uiPriority w:val="99"/>
    <w:unhideWhenUsed/>
    <w:rsid w:val="003409D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409DE"/>
    <w:rPr>
      <w:b/>
      <w:bCs/>
    </w:rPr>
  </w:style>
  <w:style w:type="character" w:styleId="a4">
    <w:name w:val="Emphasis"/>
    <w:basedOn w:val="a0"/>
    <w:uiPriority w:val="20"/>
    <w:qFormat/>
    <w:rsid w:val="003409DE"/>
    <w:rPr>
      <w:i/>
      <w:iCs/>
    </w:rPr>
  </w:style>
  <w:style w:type="character" w:customStyle="1" w:styleId="news-date">
    <w:name w:val="news-date"/>
    <w:basedOn w:val="a0"/>
    <w:rsid w:val="003409DE"/>
  </w:style>
  <w:style w:type="character" w:styleId="-">
    <w:name w:val="Hyperlink"/>
    <w:basedOn w:val="a0"/>
    <w:uiPriority w:val="99"/>
    <w:semiHidden/>
    <w:unhideWhenUsed/>
    <w:rsid w:val="003409DE"/>
    <w:rPr>
      <w:color w:val="0000FF"/>
      <w:u w:val="single"/>
    </w:rPr>
  </w:style>
  <w:style w:type="paragraph" w:styleId="a5">
    <w:name w:val="Balloon Text"/>
    <w:basedOn w:val="a"/>
    <w:link w:val="Char"/>
    <w:uiPriority w:val="99"/>
    <w:semiHidden/>
    <w:unhideWhenUsed/>
    <w:rsid w:val="003409D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409DE"/>
    <w:rPr>
      <w:rFonts w:ascii="Tahoma" w:hAnsi="Tahoma" w:cs="Tahoma"/>
      <w:sz w:val="16"/>
      <w:szCs w:val="16"/>
    </w:rPr>
  </w:style>
  <w:style w:type="paragraph" w:customStyle="1" w:styleId="fl">
    <w:name w:val="fl"/>
    <w:basedOn w:val="a"/>
    <w:rsid w:val="003409D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List Paragraph"/>
    <w:basedOn w:val="a"/>
    <w:uiPriority w:val="34"/>
    <w:qFormat/>
    <w:rsid w:val="00E167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2264</Words>
  <Characters>12227</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Turbo_X</dc:creator>
  <cp:lastModifiedBy>Turbo_X</cp:lastModifiedBy>
  <cp:revision>2</cp:revision>
  <cp:lastPrinted>2013-02-12T19:01:00Z</cp:lastPrinted>
  <dcterms:created xsi:type="dcterms:W3CDTF">2013-02-14T16:07:00Z</dcterms:created>
  <dcterms:modified xsi:type="dcterms:W3CDTF">2013-02-14T16:07:00Z</dcterms:modified>
</cp:coreProperties>
</file>